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0CFF6EB6" w:rsidR="0012388D" w:rsidRPr="00B316B9" w:rsidRDefault="00772BDC" w:rsidP="003648E6">
      <w:pPr>
        <w:spacing w:before="120" w:after="120"/>
        <w:rPr>
          <w:rFonts w:cs="Arial"/>
        </w:rPr>
      </w:pPr>
      <w:r w:rsidRPr="00B316B9">
        <w:rPr>
          <w:rFonts w:cs="Arial"/>
          <w:noProof/>
          <w:lang w:eastAsia="en-GB" w:bidi="ar-SA"/>
        </w:rPr>
        <w:drawing>
          <wp:inline distT="0" distB="0" distL="0" distR="0" wp14:anchorId="32DB846A" wp14:editId="3E47014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B316B9" w:rsidRDefault="00A671E6" w:rsidP="003648E6">
      <w:pPr>
        <w:spacing w:before="120" w:after="120"/>
      </w:pPr>
    </w:p>
    <w:p w14:paraId="6A2AC4E8" w14:textId="45CA3A64" w:rsidR="00A671E6" w:rsidRPr="00B316B9" w:rsidRDefault="00B316B9" w:rsidP="003648E6">
      <w:pPr>
        <w:spacing w:before="120" w:after="120"/>
        <w:rPr>
          <w:b/>
          <w:sz w:val="28"/>
          <w:szCs w:val="28"/>
        </w:rPr>
      </w:pPr>
      <w:r w:rsidRPr="00B316B9">
        <w:rPr>
          <w:b/>
          <w:sz w:val="28"/>
          <w:szCs w:val="28"/>
        </w:rPr>
        <w:t>8 November 2021</w:t>
      </w:r>
    </w:p>
    <w:p w14:paraId="05D0F5F1" w14:textId="7FE371A3" w:rsidR="00A671E6" w:rsidRPr="00B316B9" w:rsidRDefault="00B316B9" w:rsidP="003648E6">
      <w:pPr>
        <w:spacing w:before="120" w:after="120"/>
        <w:rPr>
          <w:b/>
          <w:sz w:val="28"/>
          <w:szCs w:val="28"/>
        </w:rPr>
      </w:pPr>
      <w:r w:rsidRPr="00B316B9">
        <w:rPr>
          <w:b/>
          <w:sz w:val="28"/>
          <w:szCs w:val="28"/>
        </w:rPr>
        <w:t>177-21</w:t>
      </w:r>
    </w:p>
    <w:p w14:paraId="3C77C31E" w14:textId="77777777" w:rsidR="00A671E6" w:rsidRPr="00A671E6" w:rsidRDefault="00A671E6" w:rsidP="003648E6">
      <w:pPr>
        <w:spacing w:before="120" w:after="120"/>
      </w:pPr>
    </w:p>
    <w:p w14:paraId="598521F3" w14:textId="3A56A5EA" w:rsidR="0012388D" w:rsidRPr="009015F7" w:rsidRDefault="00B425AA" w:rsidP="003648E6">
      <w:pPr>
        <w:pStyle w:val="FSTitle"/>
        <w:spacing w:before="120" w:after="120"/>
      </w:pPr>
      <w:r w:rsidRPr="009015F7">
        <w:t>A</w:t>
      </w:r>
      <w:r w:rsidR="00DD265C" w:rsidRPr="009015F7">
        <w:t>pproval</w:t>
      </w:r>
      <w:r w:rsidRPr="009015F7">
        <w:t xml:space="preserve"> </w:t>
      </w:r>
      <w:r w:rsidR="007D143A" w:rsidRPr="009015F7">
        <w:t>r</w:t>
      </w:r>
      <w:r w:rsidR="00DD265C" w:rsidRPr="009015F7">
        <w:t>eport</w:t>
      </w:r>
      <w:r w:rsidRPr="009015F7">
        <w:t xml:space="preserve"> – </w:t>
      </w:r>
      <w:r w:rsidR="004D0B4D" w:rsidRPr="009015F7">
        <w:t>Application A1178</w:t>
      </w:r>
    </w:p>
    <w:p w14:paraId="63744F20" w14:textId="77777777" w:rsidR="003A7B84" w:rsidRPr="00CA5734" w:rsidRDefault="003A7B84" w:rsidP="003648E6">
      <w:pPr>
        <w:spacing w:before="120" w:after="120"/>
      </w:pPr>
    </w:p>
    <w:p w14:paraId="79002CFB" w14:textId="2F513CF7" w:rsidR="003A7B84" w:rsidRPr="00E327A6" w:rsidRDefault="004D0B4D" w:rsidP="003648E6">
      <w:pPr>
        <w:pBdr>
          <w:bottom w:val="single" w:sz="12" w:space="1" w:color="auto"/>
        </w:pBdr>
        <w:tabs>
          <w:tab w:val="left" w:pos="1140"/>
        </w:tabs>
        <w:spacing w:before="120" w:after="120"/>
        <w:rPr>
          <w:rFonts w:cs="Arial"/>
          <w:bCs/>
        </w:rPr>
      </w:pPr>
      <w:r w:rsidRPr="00360A9B">
        <w:rPr>
          <w:rFonts w:cs="Arial"/>
          <w:bCs/>
          <w:sz w:val="32"/>
          <w:szCs w:val="22"/>
        </w:rPr>
        <w:t>AOAC 2017.16 as a new method of analysis for total dietary fibre</w:t>
      </w:r>
    </w:p>
    <w:p w14:paraId="16CA871C" w14:textId="77777777" w:rsidR="003A7B84" w:rsidRPr="00E327A6" w:rsidRDefault="003A7B84" w:rsidP="000F267A"/>
    <w:p w14:paraId="72ADE9E7" w14:textId="6D04EA38" w:rsidR="00EB6590" w:rsidRPr="009015F7" w:rsidRDefault="000F3CFE" w:rsidP="005D052F">
      <w:r w:rsidRPr="009015F7">
        <w:t>Food Standards Australia New Zealand (FSANZ) has</w:t>
      </w:r>
      <w:r w:rsidR="00081B0A" w:rsidRPr="009015F7">
        <w:t xml:space="preserve"> assessed an application</w:t>
      </w:r>
      <w:r w:rsidR="00CA5734" w:rsidRPr="009015F7">
        <w:t xml:space="preserve"> </w:t>
      </w:r>
      <w:r w:rsidR="00081B0A" w:rsidRPr="009015F7">
        <w:t xml:space="preserve">made by </w:t>
      </w:r>
      <w:r w:rsidR="004D0B4D" w:rsidRPr="009015F7">
        <w:t>the Grains and Legumes Nutrition Council</w:t>
      </w:r>
      <w:r w:rsidR="00081B0A" w:rsidRPr="009015F7">
        <w:t xml:space="preserve"> </w:t>
      </w:r>
      <w:r w:rsidR="00CA5734" w:rsidRPr="009015F7">
        <w:t>to</w:t>
      </w:r>
      <w:r w:rsidR="00081B0A" w:rsidRPr="009015F7">
        <w:t xml:space="preserve"> </w:t>
      </w:r>
      <w:r w:rsidR="004D0B4D" w:rsidRPr="009015F7">
        <w:t>permit the use of AOAC 2017.16 as a new method of analysis for total dietary fibre</w:t>
      </w:r>
      <w:r w:rsidR="00081B0A" w:rsidRPr="009015F7">
        <w:t>.</w:t>
      </w:r>
    </w:p>
    <w:p w14:paraId="14F32D9E" w14:textId="77777777" w:rsidR="00CA5734" w:rsidRDefault="00CA5734" w:rsidP="005D052F"/>
    <w:p w14:paraId="5029D30D" w14:textId="37BA4A13" w:rsidR="00081B0A" w:rsidRDefault="00081B0A" w:rsidP="005D052F">
      <w:r>
        <w:t>On</w:t>
      </w:r>
      <w:r w:rsidR="004D0B4D">
        <w:t xml:space="preserve"> 21 May </w:t>
      </w:r>
      <w:r w:rsidR="004D0B4D" w:rsidRPr="004D0B4D">
        <w:t>2021</w:t>
      </w:r>
      <w:r w:rsidR="003A7B84" w:rsidRPr="004D0B4D">
        <w:t>,</w:t>
      </w:r>
      <w:r w:rsidRPr="004D0B4D">
        <w:t xml:space="preserve"> </w:t>
      </w:r>
      <w:r>
        <w:t xml:space="preserve">FSANZ sought </w:t>
      </w:r>
      <w:hyperlink r:id="rId16" w:history="1">
        <w:r w:rsidR="003A7B84" w:rsidRPr="00136405">
          <w:rPr>
            <w:rStyle w:val="Hyperlink"/>
          </w:rPr>
          <w:t>submissions</w:t>
        </w:r>
      </w:hyperlink>
      <w:r w:rsidR="003A7B84">
        <w:t xml:space="preserve"> </w:t>
      </w:r>
      <w:r w:rsidR="00A671E6" w:rsidRPr="009015F7">
        <w:t xml:space="preserve">on </w:t>
      </w:r>
      <w:r w:rsidR="00F526BD" w:rsidRPr="009015F7">
        <w:t xml:space="preserve">a draft </w:t>
      </w:r>
      <w:r w:rsidR="00E30092" w:rsidRPr="009015F7">
        <w:t xml:space="preserve">variation </w:t>
      </w:r>
      <w:r w:rsidR="003A7B84" w:rsidRPr="009015F7">
        <w:t xml:space="preserve">and published </w:t>
      </w:r>
      <w:r w:rsidR="003A7B84">
        <w:t xml:space="preserve">an </w:t>
      </w:r>
      <w:r w:rsidR="00EC21DF">
        <w:t>associated r</w:t>
      </w:r>
      <w:r w:rsidR="003A7B84">
        <w:t>eport</w:t>
      </w:r>
      <w:r>
        <w:t>.</w:t>
      </w:r>
      <w:r w:rsidR="009015F7">
        <w:t xml:space="preserve"> FSANZ received ten</w:t>
      </w:r>
      <w:r w:rsidR="00F526BD">
        <w:t xml:space="preserve"> submissions</w:t>
      </w:r>
      <w:r w:rsidR="009015F7">
        <w:t xml:space="preserve"> and one late submission</w:t>
      </w:r>
      <w:r w:rsidR="00F526BD">
        <w:t>.</w:t>
      </w:r>
    </w:p>
    <w:p w14:paraId="6F926C97" w14:textId="77777777" w:rsidR="00CA5734" w:rsidRDefault="00CA5734" w:rsidP="005D052F"/>
    <w:p w14:paraId="5F5CD903" w14:textId="19B01138" w:rsidR="00081B0A" w:rsidRDefault="00081B0A" w:rsidP="005D052F">
      <w:bookmarkStart w:id="0" w:name="_GoBack"/>
      <w:r>
        <w:t xml:space="preserve">FSANZ </w:t>
      </w:r>
      <w:r w:rsidRPr="009015F7">
        <w:t xml:space="preserve">approved the draft </w:t>
      </w:r>
      <w:r w:rsidR="007D143A" w:rsidRPr="009015F7">
        <w:t>variation</w:t>
      </w:r>
      <w:r w:rsidR="003A7B84" w:rsidRPr="009015F7">
        <w:t xml:space="preserve"> </w:t>
      </w:r>
      <w:r w:rsidR="0012388D" w:rsidRPr="00B316B9">
        <w:t xml:space="preserve">on </w:t>
      </w:r>
      <w:r w:rsidR="00B316B9" w:rsidRPr="00B316B9">
        <w:t>27 October 2021.</w:t>
      </w:r>
      <w:r w:rsidR="003A7B84" w:rsidRPr="00B316B9">
        <w:t xml:space="preserve">The </w:t>
      </w:r>
      <w:r w:rsidR="00B13F05" w:rsidRPr="00B316B9">
        <w:rPr>
          <w:rFonts w:cs="Helvetica"/>
          <w:lang w:val="en-AU"/>
        </w:rPr>
        <w:t>Food Ministers’ Meeting</w:t>
      </w:r>
      <w:r w:rsidR="00B13F05" w:rsidRPr="00B316B9">
        <w:rPr>
          <w:rStyle w:val="FootnoteReference"/>
          <w:rFonts w:cs="Helvetica"/>
          <w:lang w:val="en-AU"/>
        </w:rPr>
        <w:footnoteReference w:id="2"/>
      </w:r>
      <w:r w:rsidR="003A7B84" w:rsidRPr="00B316B9">
        <w:t xml:space="preserve"> was notified of FSANZ’s decision on </w:t>
      </w:r>
      <w:r w:rsidR="00B316B9" w:rsidRPr="00B316B9">
        <w:t>8 November 2021</w:t>
      </w:r>
      <w:r w:rsidR="003A7B84">
        <w:t>.</w:t>
      </w:r>
    </w:p>
    <w:bookmarkEnd w:id="0"/>
    <w:p w14:paraId="07FE212F" w14:textId="77777777" w:rsidR="00CA5734" w:rsidRDefault="00CA5734" w:rsidP="005D052F"/>
    <w:p w14:paraId="3B4BBA6D" w14:textId="75CEF314" w:rsidR="00081B0A" w:rsidRDefault="003A7B84" w:rsidP="005D052F">
      <w:r>
        <w:t>This R</w:t>
      </w:r>
      <w:r w:rsidR="00B425AA">
        <w:t xml:space="preserve">eport is provided pursuant to </w:t>
      </w:r>
      <w:r w:rsidR="009A2699" w:rsidRPr="009015F7">
        <w:t>paragraph</w:t>
      </w:r>
      <w:r w:rsidR="00081B0A" w:rsidRPr="009015F7">
        <w:t xml:space="preserve"> 33(1)(b) of the </w:t>
      </w:r>
      <w:r w:rsidR="00081B0A" w:rsidRPr="009015F7">
        <w:rPr>
          <w:i/>
        </w:rPr>
        <w:t xml:space="preserve">Food </w:t>
      </w:r>
      <w:r w:rsidR="00081B0A" w:rsidRPr="0012388D">
        <w:rPr>
          <w:i/>
        </w:rPr>
        <w:t>Standards Australia New Zealand Act 1991</w:t>
      </w:r>
      <w:r w:rsidR="00081B0A">
        <w:t xml:space="preserve"> (the FSANZ Act).</w:t>
      </w:r>
    </w:p>
    <w:p w14:paraId="633BC3D5" w14:textId="77777777" w:rsidR="00F526BD" w:rsidRDefault="00F526BD" w:rsidP="005D052F"/>
    <w:p w14:paraId="06D4B33A" w14:textId="77777777" w:rsidR="00EB6590" w:rsidRDefault="00EB6590" w:rsidP="005D052F"/>
    <w:p w14:paraId="28EC5A50" w14:textId="25F5B148" w:rsidR="00A671E6" w:rsidRDefault="00A671E6" w:rsidP="005D052F"/>
    <w:p w14:paraId="5D9EF0EB" w14:textId="77777777" w:rsidR="00B316B9" w:rsidRDefault="00B316B9" w:rsidP="005D052F">
      <w:pPr>
        <w:sectPr w:rsidR="00B316B9"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690C36F1" w14:textId="64CEDA8D" w:rsidR="00CE59AA" w:rsidRPr="00346622" w:rsidRDefault="00D15A08" w:rsidP="000010B7">
      <w:pPr>
        <w:spacing w:before="120" w:after="120"/>
        <w:jc w:val="center"/>
        <w:rPr>
          <w:rFonts w:cs="Arial"/>
          <w:sz w:val="20"/>
          <w:szCs w:val="20"/>
        </w:rPr>
      </w:pPr>
      <w:r w:rsidRPr="00EC66BB">
        <w:rPr>
          <w:sz w:val="28"/>
          <w:szCs w:val="28"/>
        </w:rPr>
        <w:lastRenderedPageBreak/>
        <w:t xml:space="preserve">Table of </w:t>
      </w:r>
      <w:r w:rsidR="00B63BBA">
        <w:rPr>
          <w:sz w:val="28"/>
          <w:szCs w:val="28"/>
        </w:rPr>
        <w:t>c</w:t>
      </w:r>
      <w:r w:rsidRPr="00EC66BB">
        <w:rPr>
          <w:sz w:val="28"/>
          <w:szCs w:val="28"/>
        </w:rPr>
        <w:t>ontents</w:t>
      </w:r>
    </w:p>
    <w:p w14:paraId="6F52E2A9" w14:textId="51622A2E" w:rsidR="0010195C"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86240815" w:history="1">
        <w:r w:rsidR="0010195C" w:rsidRPr="00AA32C0">
          <w:rPr>
            <w:rStyle w:val="Hyperlink"/>
            <w:noProof/>
          </w:rPr>
          <w:t>Executive summary</w:t>
        </w:r>
        <w:r w:rsidR="0010195C">
          <w:rPr>
            <w:noProof/>
            <w:webHidden/>
          </w:rPr>
          <w:tab/>
        </w:r>
        <w:r w:rsidR="0010195C">
          <w:rPr>
            <w:noProof/>
            <w:webHidden/>
          </w:rPr>
          <w:fldChar w:fldCharType="begin"/>
        </w:r>
        <w:r w:rsidR="0010195C">
          <w:rPr>
            <w:noProof/>
            <w:webHidden/>
          </w:rPr>
          <w:instrText xml:space="preserve"> PAGEREF _Toc86240815 \h </w:instrText>
        </w:r>
        <w:r w:rsidR="0010195C">
          <w:rPr>
            <w:noProof/>
            <w:webHidden/>
          </w:rPr>
        </w:r>
        <w:r w:rsidR="0010195C">
          <w:rPr>
            <w:noProof/>
            <w:webHidden/>
          </w:rPr>
          <w:fldChar w:fldCharType="separate"/>
        </w:r>
        <w:r w:rsidR="00B316B9">
          <w:rPr>
            <w:noProof/>
            <w:webHidden/>
          </w:rPr>
          <w:t>4</w:t>
        </w:r>
        <w:r w:rsidR="0010195C">
          <w:rPr>
            <w:noProof/>
            <w:webHidden/>
          </w:rPr>
          <w:fldChar w:fldCharType="end"/>
        </w:r>
      </w:hyperlink>
    </w:p>
    <w:p w14:paraId="59CE67C0" w14:textId="08DCFA88" w:rsidR="0010195C" w:rsidRDefault="00C628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6240816" w:history="1">
        <w:r w:rsidR="0010195C" w:rsidRPr="00AA32C0">
          <w:rPr>
            <w:rStyle w:val="Hyperlink"/>
            <w:noProof/>
          </w:rPr>
          <w:t>1.</w:t>
        </w:r>
        <w:r w:rsidR="0010195C">
          <w:rPr>
            <w:rFonts w:eastAsiaTheme="minorEastAsia" w:cstheme="minorBidi"/>
            <w:b w:val="0"/>
            <w:bCs w:val="0"/>
            <w:caps w:val="0"/>
            <w:noProof/>
            <w:sz w:val="22"/>
            <w:szCs w:val="22"/>
            <w:lang w:eastAsia="en-GB" w:bidi="ar-SA"/>
          </w:rPr>
          <w:tab/>
        </w:r>
        <w:r w:rsidR="0010195C" w:rsidRPr="00AA32C0">
          <w:rPr>
            <w:rStyle w:val="Hyperlink"/>
            <w:noProof/>
          </w:rPr>
          <w:t>Introduction</w:t>
        </w:r>
        <w:r w:rsidR="0010195C">
          <w:rPr>
            <w:noProof/>
            <w:webHidden/>
          </w:rPr>
          <w:tab/>
        </w:r>
        <w:r w:rsidR="0010195C">
          <w:rPr>
            <w:noProof/>
            <w:webHidden/>
          </w:rPr>
          <w:fldChar w:fldCharType="begin"/>
        </w:r>
        <w:r w:rsidR="0010195C">
          <w:rPr>
            <w:noProof/>
            <w:webHidden/>
          </w:rPr>
          <w:instrText xml:space="preserve"> PAGEREF _Toc86240816 \h </w:instrText>
        </w:r>
        <w:r w:rsidR="0010195C">
          <w:rPr>
            <w:noProof/>
            <w:webHidden/>
          </w:rPr>
        </w:r>
        <w:r w:rsidR="0010195C">
          <w:rPr>
            <w:noProof/>
            <w:webHidden/>
          </w:rPr>
          <w:fldChar w:fldCharType="separate"/>
        </w:r>
        <w:r w:rsidR="00B316B9">
          <w:rPr>
            <w:noProof/>
            <w:webHidden/>
          </w:rPr>
          <w:t>6</w:t>
        </w:r>
        <w:r w:rsidR="0010195C">
          <w:rPr>
            <w:noProof/>
            <w:webHidden/>
          </w:rPr>
          <w:fldChar w:fldCharType="end"/>
        </w:r>
      </w:hyperlink>
    </w:p>
    <w:p w14:paraId="5E6F226A" w14:textId="019602C0"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17" w:history="1">
        <w:r w:rsidR="0010195C" w:rsidRPr="00AA32C0">
          <w:rPr>
            <w:rStyle w:val="Hyperlink"/>
            <w:noProof/>
          </w:rPr>
          <w:t>1.1</w:t>
        </w:r>
        <w:r w:rsidR="0010195C">
          <w:rPr>
            <w:rFonts w:eastAsiaTheme="minorEastAsia" w:cstheme="minorBidi"/>
            <w:smallCaps w:val="0"/>
            <w:noProof/>
            <w:sz w:val="22"/>
            <w:szCs w:val="22"/>
            <w:lang w:eastAsia="en-GB" w:bidi="ar-SA"/>
          </w:rPr>
          <w:tab/>
        </w:r>
        <w:r w:rsidR="0010195C" w:rsidRPr="00AA32C0">
          <w:rPr>
            <w:rStyle w:val="Hyperlink"/>
            <w:noProof/>
          </w:rPr>
          <w:t>The Applicant</w:t>
        </w:r>
        <w:r w:rsidR="0010195C">
          <w:rPr>
            <w:noProof/>
            <w:webHidden/>
          </w:rPr>
          <w:tab/>
        </w:r>
        <w:r w:rsidR="0010195C">
          <w:rPr>
            <w:noProof/>
            <w:webHidden/>
          </w:rPr>
          <w:fldChar w:fldCharType="begin"/>
        </w:r>
        <w:r w:rsidR="0010195C">
          <w:rPr>
            <w:noProof/>
            <w:webHidden/>
          </w:rPr>
          <w:instrText xml:space="preserve"> PAGEREF _Toc86240817 \h </w:instrText>
        </w:r>
        <w:r w:rsidR="0010195C">
          <w:rPr>
            <w:noProof/>
            <w:webHidden/>
          </w:rPr>
        </w:r>
        <w:r w:rsidR="0010195C">
          <w:rPr>
            <w:noProof/>
            <w:webHidden/>
          </w:rPr>
          <w:fldChar w:fldCharType="separate"/>
        </w:r>
        <w:r w:rsidR="00B316B9">
          <w:rPr>
            <w:noProof/>
            <w:webHidden/>
          </w:rPr>
          <w:t>6</w:t>
        </w:r>
        <w:r w:rsidR="0010195C">
          <w:rPr>
            <w:noProof/>
            <w:webHidden/>
          </w:rPr>
          <w:fldChar w:fldCharType="end"/>
        </w:r>
      </w:hyperlink>
    </w:p>
    <w:p w14:paraId="68882B66" w14:textId="1AB4C865"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18" w:history="1">
        <w:r w:rsidR="0010195C" w:rsidRPr="00AA32C0">
          <w:rPr>
            <w:rStyle w:val="Hyperlink"/>
            <w:noProof/>
          </w:rPr>
          <w:t>1.2</w:t>
        </w:r>
        <w:r w:rsidR="0010195C">
          <w:rPr>
            <w:rFonts w:eastAsiaTheme="minorEastAsia" w:cstheme="minorBidi"/>
            <w:smallCaps w:val="0"/>
            <w:noProof/>
            <w:sz w:val="22"/>
            <w:szCs w:val="22"/>
            <w:lang w:eastAsia="en-GB" w:bidi="ar-SA"/>
          </w:rPr>
          <w:tab/>
        </w:r>
        <w:r w:rsidR="0010195C" w:rsidRPr="00AA32C0">
          <w:rPr>
            <w:rStyle w:val="Hyperlink"/>
            <w:noProof/>
          </w:rPr>
          <w:t>The Application</w:t>
        </w:r>
        <w:r w:rsidR="0010195C">
          <w:rPr>
            <w:noProof/>
            <w:webHidden/>
          </w:rPr>
          <w:tab/>
        </w:r>
        <w:r w:rsidR="0010195C">
          <w:rPr>
            <w:noProof/>
            <w:webHidden/>
          </w:rPr>
          <w:fldChar w:fldCharType="begin"/>
        </w:r>
        <w:r w:rsidR="0010195C">
          <w:rPr>
            <w:noProof/>
            <w:webHidden/>
          </w:rPr>
          <w:instrText xml:space="preserve"> PAGEREF _Toc86240818 \h </w:instrText>
        </w:r>
        <w:r w:rsidR="0010195C">
          <w:rPr>
            <w:noProof/>
            <w:webHidden/>
          </w:rPr>
        </w:r>
        <w:r w:rsidR="0010195C">
          <w:rPr>
            <w:noProof/>
            <w:webHidden/>
          </w:rPr>
          <w:fldChar w:fldCharType="separate"/>
        </w:r>
        <w:r w:rsidR="00B316B9">
          <w:rPr>
            <w:noProof/>
            <w:webHidden/>
          </w:rPr>
          <w:t>6</w:t>
        </w:r>
        <w:r w:rsidR="0010195C">
          <w:rPr>
            <w:noProof/>
            <w:webHidden/>
          </w:rPr>
          <w:fldChar w:fldCharType="end"/>
        </w:r>
      </w:hyperlink>
    </w:p>
    <w:p w14:paraId="4AF5E1AA" w14:textId="41DCD7A2"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19" w:history="1">
        <w:r w:rsidR="0010195C" w:rsidRPr="00AA32C0">
          <w:rPr>
            <w:rStyle w:val="Hyperlink"/>
            <w:noProof/>
          </w:rPr>
          <w:t>1.3</w:t>
        </w:r>
        <w:r w:rsidR="0010195C">
          <w:rPr>
            <w:rFonts w:eastAsiaTheme="minorEastAsia" w:cstheme="minorBidi"/>
            <w:smallCaps w:val="0"/>
            <w:noProof/>
            <w:sz w:val="22"/>
            <w:szCs w:val="22"/>
            <w:lang w:eastAsia="en-GB" w:bidi="ar-SA"/>
          </w:rPr>
          <w:tab/>
        </w:r>
        <w:r w:rsidR="0010195C" w:rsidRPr="00AA32C0">
          <w:rPr>
            <w:rStyle w:val="Hyperlink"/>
            <w:noProof/>
          </w:rPr>
          <w:t>The current standard</w:t>
        </w:r>
        <w:r w:rsidR="0010195C">
          <w:rPr>
            <w:noProof/>
            <w:webHidden/>
          </w:rPr>
          <w:tab/>
        </w:r>
        <w:r w:rsidR="0010195C">
          <w:rPr>
            <w:noProof/>
            <w:webHidden/>
          </w:rPr>
          <w:fldChar w:fldCharType="begin"/>
        </w:r>
        <w:r w:rsidR="0010195C">
          <w:rPr>
            <w:noProof/>
            <w:webHidden/>
          </w:rPr>
          <w:instrText xml:space="preserve"> PAGEREF _Toc86240819 \h </w:instrText>
        </w:r>
        <w:r w:rsidR="0010195C">
          <w:rPr>
            <w:noProof/>
            <w:webHidden/>
          </w:rPr>
        </w:r>
        <w:r w:rsidR="0010195C">
          <w:rPr>
            <w:noProof/>
            <w:webHidden/>
          </w:rPr>
          <w:fldChar w:fldCharType="separate"/>
        </w:r>
        <w:r w:rsidR="00B316B9">
          <w:rPr>
            <w:noProof/>
            <w:webHidden/>
          </w:rPr>
          <w:t>6</w:t>
        </w:r>
        <w:r w:rsidR="0010195C">
          <w:rPr>
            <w:noProof/>
            <w:webHidden/>
          </w:rPr>
          <w:fldChar w:fldCharType="end"/>
        </w:r>
      </w:hyperlink>
    </w:p>
    <w:p w14:paraId="55DF0907" w14:textId="2302984E"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20" w:history="1">
        <w:r w:rsidR="0010195C" w:rsidRPr="00AA32C0">
          <w:rPr>
            <w:rStyle w:val="Hyperlink"/>
            <w:noProof/>
          </w:rPr>
          <w:t>1.3.1</w:t>
        </w:r>
        <w:r w:rsidR="0010195C">
          <w:rPr>
            <w:rFonts w:eastAsiaTheme="minorEastAsia" w:cstheme="minorBidi"/>
            <w:i w:val="0"/>
            <w:iCs w:val="0"/>
            <w:noProof/>
            <w:sz w:val="22"/>
            <w:szCs w:val="22"/>
            <w:lang w:eastAsia="en-GB" w:bidi="ar-SA"/>
          </w:rPr>
          <w:tab/>
        </w:r>
        <w:r w:rsidR="0010195C" w:rsidRPr="00AA32C0">
          <w:rPr>
            <w:rStyle w:val="Hyperlink"/>
            <w:noProof/>
          </w:rPr>
          <w:t>Regulation of dietary fibre</w:t>
        </w:r>
        <w:r w:rsidR="0010195C">
          <w:rPr>
            <w:noProof/>
            <w:webHidden/>
          </w:rPr>
          <w:tab/>
        </w:r>
        <w:r w:rsidR="0010195C">
          <w:rPr>
            <w:noProof/>
            <w:webHidden/>
          </w:rPr>
          <w:fldChar w:fldCharType="begin"/>
        </w:r>
        <w:r w:rsidR="0010195C">
          <w:rPr>
            <w:noProof/>
            <w:webHidden/>
          </w:rPr>
          <w:instrText xml:space="preserve"> PAGEREF _Toc86240820 \h </w:instrText>
        </w:r>
        <w:r w:rsidR="0010195C">
          <w:rPr>
            <w:noProof/>
            <w:webHidden/>
          </w:rPr>
        </w:r>
        <w:r w:rsidR="0010195C">
          <w:rPr>
            <w:noProof/>
            <w:webHidden/>
          </w:rPr>
          <w:fldChar w:fldCharType="separate"/>
        </w:r>
        <w:r w:rsidR="00B316B9">
          <w:rPr>
            <w:noProof/>
            <w:webHidden/>
          </w:rPr>
          <w:t>6</w:t>
        </w:r>
        <w:r w:rsidR="0010195C">
          <w:rPr>
            <w:noProof/>
            <w:webHidden/>
          </w:rPr>
          <w:fldChar w:fldCharType="end"/>
        </w:r>
      </w:hyperlink>
    </w:p>
    <w:p w14:paraId="686A3C50" w14:textId="632EB2E2"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21" w:history="1">
        <w:r w:rsidR="0010195C" w:rsidRPr="00AA32C0">
          <w:rPr>
            <w:rStyle w:val="Hyperlink"/>
            <w:noProof/>
          </w:rPr>
          <w:t>1.3.2</w:t>
        </w:r>
        <w:r w:rsidR="0010195C">
          <w:rPr>
            <w:rFonts w:eastAsiaTheme="minorEastAsia" w:cstheme="minorBidi"/>
            <w:i w:val="0"/>
            <w:iCs w:val="0"/>
            <w:noProof/>
            <w:sz w:val="22"/>
            <w:szCs w:val="22"/>
            <w:lang w:eastAsia="en-GB" w:bidi="ar-SA"/>
          </w:rPr>
          <w:tab/>
        </w:r>
        <w:r w:rsidR="0010195C" w:rsidRPr="00AA32C0">
          <w:rPr>
            <w:rStyle w:val="Hyperlink"/>
            <w:noProof/>
          </w:rPr>
          <w:t>Labelling requirements for dietary fibre</w:t>
        </w:r>
        <w:r w:rsidR="0010195C">
          <w:rPr>
            <w:noProof/>
            <w:webHidden/>
          </w:rPr>
          <w:tab/>
        </w:r>
        <w:r w:rsidR="0010195C">
          <w:rPr>
            <w:noProof/>
            <w:webHidden/>
          </w:rPr>
          <w:fldChar w:fldCharType="begin"/>
        </w:r>
        <w:r w:rsidR="0010195C">
          <w:rPr>
            <w:noProof/>
            <w:webHidden/>
          </w:rPr>
          <w:instrText xml:space="preserve"> PAGEREF _Toc86240821 \h </w:instrText>
        </w:r>
        <w:r w:rsidR="0010195C">
          <w:rPr>
            <w:noProof/>
            <w:webHidden/>
          </w:rPr>
        </w:r>
        <w:r w:rsidR="0010195C">
          <w:rPr>
            <w:noProof/>
            <w:webHidden/>
          </w:rPr>
          <w:fldChar w:fldCharType="separate"/>
        </w:r>
        <w:r w:rsidR="00B316B9">
          <w:rPr>
            <w:noProof/>
            <w:webHidden/>
          </w:rPr>
          <w:t>7</w:t>
        </w:r>
        <w:r w:rsidR="0010195C">
          <w:rPr>
            <w:noProof/>
            <w:webHidden/>
          </w:rPr>
          <w:fldChar w:fldCharType="end"/>
        </w:r>
      </w:hyperlink>
    </w:p>
    <w:p w14:paraId="4E98C30C" w14:textId="16C52E68"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22" w:history="1">
        <w:r w:rsidR="0010195C" w:rsidRPr="00AA32C0">
          <w:rPr>
            <w:rStyle w:val="Hyperlink"/>
            <w:noProof/>
          </w:rPr>
          <w:t>1.4</w:t>
        </w:r>
        <w:r w:rsidR="0010195C">
          <w:rPr>
            <w:rFonts w:eastAsiaTheme="minorEastAsia" w:cstheme="minorBidi"/>
            <w:smallCaps w:val="0"/>
            <w:noProof/>
            <w:sz w:val="22"/>
            <w:szCs w:val="22"/>
            <w:lang w:eastAsia="en-GB" w:bidi="ar-SA"/>
          </w:rPr>
          <w:tab/>
        </w:r>
        <w:r w:rsidR="0010195C" w:rsidRPr="00AA32C0">
          <w:rPr>
            <w:rStyle w:val="Hyperlink"/>
            <w:noProof/>
          </w:rPr>
          <w:t>International standards</w:t>
        </w:r>
        <w:r w:rsidR="0010195C">
          <w:rPr>
            <w:noProof/>
            <w:webHidden/>
          </w:rPr>
          <w:tab/>
        </w:r>
        <w:r w:rsidR="0010195C">
          <w:rPr>
            <w:noProof/>
            <w:webHidden/>
          </w:rPr>
          <w:fldChar w:fldCharType="begin"/>
        </w:r>
        <w:r w:rsidR="0010195C">
          <w:rPr>
            <w:noProof/>
            <w:webHidden/>
          </w:rPr>
          <w:instrText xml:space="preserve"> PAGEREF _Toc86240822 \h </w:instrText>
        </w:r>
        <w:r w:rsidR="0010195C">
          <w:rPr>
            <w:noProof/>
            <w:webHidden/>
          </w:rPr>
        </w:r>
        <w:r w:rsidR="0010195C">
          <w:rPr>
            <w:noProof/>
            <w:webHidden/>
          </w:rPr>
          <w:fldChar w:fldCharType="separate"/>
        </w:r>
        <w:r w:rsidR="00B316B9">
          <w:rPr>
            <w:noProof/>
            <w:webHidden/>
          </w:rPr>
          <w:t>8</w:t>
        </w:r>
        <w:r w:rsidR="0010195C">
          <w:rPr>
            <w:noProof/>
            <w:webHidden/>
          </w:rPr>
          <w:fldChar w:fldCharType="end"/>
        </w:r>
      </w:hyperlink>
    </w:p>
    <w:p w14:paraId="557F721C" w14:textId="70A92E3A"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23" w:history="1">
        <w:r w:rsidR="0010195C" w:rsidRPr="00AA32C0">
          <w:rPr>
            <w:rStyle w:val="Hyperlink"/>
            <w:noProof/>
          </w:rPr>
          <w:t>1.4.1</w:t>
        </w:r>
        <w:r w:rsidR="0010195C">
          <w:rPr>
            <w:rFonts w:eastAsiaTheme="minorEastAsia" w:cstheme="minorBidi"/>
            <w:i w:val="0"/>
            <w:iCs w:val="0"/>
            <w:noProof/>
            <w:sz w:val="22"/>
            <w:szCs w:val="22"/>
            <w:lang w:eastAsia="en-GB" w:bidi="ar-SA"/>
          </w:rPr>
          <w:tab/>
        </w:r>
        <w:r w:rsidR="0010195C" w:rsidRPr="00AA32C0">
          <w:rPr>
            <w:rStyle w:val="Hyperlink"/>
            <w:noProof/>
          </w:rPr>
          <w:t>Codex</w:t>
        </w:r>
        <w:r w:rsidR="0010195C">
          <w:rPr>
            <w:noProof/>
            <w:webHidden/>
          </w:rPr>
          <w:tab/>
        </w:r>
        <w:r w:rsidR="0010195C">
          <w:rPr>
            <w:noProof/>
            <w:webHidden/>
          </w:rPr>
          <w:fldChar w:fldCharType="begin"/>
        </w:r>
        <w:r w:rsidR="0010195C">
          <w:rPr>
            <w:noProof/>
            <w:webHidden/>
          </w:rPr>
          <w:instrText xml:space="preserve"> PAGEREF _Toc86240823 \h </w:instrText>
        </w:r>
        <w:r w:rsidR="0010195C">
          <w:rPr>
            <w:noProof/>
            <w:webHidden/>
          </w:rPr>
        </w:r>
        <w:r w:rsidR="0010195C">
          <w:rPr>
            <w:noProof/>
            <w:webHidden/>
          </w:rPr>
          <w:fldChar w:fldCharType="separate"/>
        </w:r>
        <w:r w:rsidR="00B316B9">
          <w:rPr>
            <w:noProof/>
            <w:webHidden/>
          </w:rPr>
          <w:t>8</w:t>
        </w:r>
        <w:r w:rsidR="0010195C">
          <w:rPr>
            <w:noProof/>
            <w:webHidden/>
          </w:rPr>
          <w:fldChar w:fldCharType="end"/>
        </w:r>
      </w:hyperlink>
    </w:p>
    <w:p w14:paraId="15497258" w14:textId="569F8A78"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24" w:history="1">
        <w:r w:rsidR="0010195C" w:rsidRPr="00AA32C0">
          <w:rPr>
            <w:rStyle w:val="Hyperlink"/>
            <w:noProof/>
          </w:rPr>
          <w:t>1.4.2</w:t>
        </w:r>
        <w:r w:rsidR="0010195C">
          <w:rPr>
            <w:rFonts w:eastAsiaTheme="minorEastAsia" w:cstheme="minorBidi"/>
            <w:i w:val="0"/>
            <w:iCs w:val="0"/>
            <w:noProof/>
            <w:sz w:val="22"/>
            <w:szCs w:val="22"/>
            <w:lang w:eastAsia="en-GB" w:bidi="ar-SA"/>
          </w:rPr>
          <w:tab/>
        </w:r>
        <w:r w:rsidR="0010195C" w:rsidRPr="00AA32C0">
          <w:rPr>
            <w:rStyle w:val="Hyperlink"/>
            <w:noProof/>
          </w:rPr>
          <w:t>United States</w:t>
        </w:r>
        <w:r w:rsidR="0010195C">
          <w:rPr>
            <w:noProof/>
            <w:webHidden/>
          </w:rPr>
          <w:tab/>
        </w:r>
        <w:r w:rsidR="0010195C">
          <w:rPr>
            <w:noProof/>
            <w:webHidden/>
          </w:rPr>
          <w:fldChar w:fldCharType="begin"/>
        </w:r>
        <w:r w:rsidR="0010195C">
          <w:rPr>
            <w:noProof/>
            <w:webHidden/>
          </w:rPr>
          <w:instrText xml:space="preserve"> PAGEREF _Toc86240824 \h </w:instrText>
        </w:r>
        <w:r w:rsidR="0010195C">
          <w:rPr>
            <w:noProof/>
            <w:webHidden/>
          </w:rPr>
        </w:r>
        <w:r w:rsidR="0010195C">
          <w:rPr>
            <w:noProof/>
            <w:webHidden/>
          </w:rPr>
          <w:fldChar w:fldCharType="separate"/>
        </w:r>
        <w:r w:rsidR="00B316B9">
          <w:rPr>
            <w:noProof/>
            <w:webHidden/>
          </w:rPr>
          <w:t>9</w:t>
        </w:r>
        <w:r w:rsidR="0010195C">
          <w:rPr>
            <w:noProof/>
            <w:webHidden/>
          </w:rPr>
          <w:fldChar w:fldCharType="end"/>
        </w:r>
      </w:hyperlink>
    </w:p>
    <w:p w14:paraId="3DB44919" w14:textId="4F21E04F"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25" w:history="1">
        <w:r w:rsidR="0010195C" w:rsidRPr="00AA32C0">
          <w:rPr>
            <w:rStyle w:val="Hyperlink"/>
            <w:noProof/>
          </w:rPr>
          <w:t>1.4.3</w:t>
        </w:r>
        <w:r w:rsidR="0010195C">
          <w:rPr>
            <w:rFonts w:eastAsiaTheme="minorEastAsia" w:cstheme="minorBidi"/>
            <w:i w:val="0"/>
            <w:iCs w:val="0"/>
            <w:noProof/>
            <w:sz w:val="22"/>
            <w:szCs w:val="22"/>
            <w:lang w:eastAsia="en-GB" w:bidi="ar-SA"/>
          </w:rPr>
          <w:tab/>
        </w:r>
        <w:r w:rsidR="0010195C" w:rsidRPr="00AA32C0">
          <w:rPr>
            <w:rStyle w:val="Hyperlink"/>
            <w:noProof/>
          </w:rPr>
          <w:t>Canada</w:t>
        </w:r>
        <w:r w:rsidR="0010195C">
          <w:rPr>
            <w:noProof/>
            <w:webHidden/>
          </w:rPr>
          <w:tab/>
        </w:r>
        <w:r w:rsidR="0010195C">
          <w:rPr>
            <w:noProof/>
            <w:webHidden/>
          </w:rPr>
          <w:fldChar w:fldCharType="begin"/>
        </w:r>
        <w:r w:rsidR="0010195C">
          <w:rPr>
            <w:noProof/>
            <w:webHidden/>
          </w:rPr>
          <w:instrText xml:space="preserve"> PAGEREF _Toc86240825 \h </w:instrText>
        </w:r>
        <w:r w:rsidR="0010195C">
          <w:rPr>
            <w:noProof/>
            <w:webHidden/>
          </w:rPr>
        </w:r>
        <w:r w:rsidR="0010195C">
          <w:rPr>
            <w:noProof/>
            <w:webHidden/>
          </w:rPr>
          <w:fldChar w:fldCharType="separate"/>
        </w:r>
        <w:r w:rsidR="00B316B9">
          <w:rPr>
            <w:noProof/>
            <w:webHidden/>
          </w:rPr>
          <w:t>9</w:t>
        </w:r>
        <w:r w:rsidR="0010195C">
          <w:rPr>
            <w:noProof/>
            <w:webHidden/>
          </w:rPr>
          <w:fldChar w:fldCharType="end"/>
        </w:r>
      </w:hyperlink>
    </w:p>
    <w:p w14:paraId="48652796" w14:textId="6265E1F7"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26" w:history="1">
        <w:r w:rsidR="0010195C" w:rsidRPr="00AA32C0">
          <w:rPr>
            <w:rStyle w:val="Hyperlink"/>
            <w:noProof/>
          </w:rPr>
          <w:t>1.4.4</w:t>
        </w:r>
        <w:r w:rsidR="0010195C">
          <w:rPr>
            <w:rFonts w:eastAsiaTheme="minorEastAsia" w:cstheme="minorBidi"/>
            <w:i w:val="0"/>
            <w:iCs w:val="0"/>
            <w:noProof/>
            <w:sz w:val="22"/>
            <w:szCs w:val="22"/>
            <w:lang w:eastAsia="en-GB" w:bidi="ar-SA"/>
          </w:rPr>
          <w:tab/>
        </w:r>
        <w:r w:rsidR="0010195C" w:rsidRPr="00AA32C0">
          <w:rPr>
            <w:rStyle w:val="Hyperlink"/>
            <w:noProof/>
          </w:rPr>
          <w:t>European Union</w:t>
        </w:r>
        <w:r w:rsidR="0010195C">
          <w:rPr>
            <w:noProof/>
            <w:webHidden/>
          </w:rPr>
          <w:tab/>
        </w:r>
        <w:r w:rsidR="0010195C">
          <w:rPr>
            <w:noProof/>
            <w:webHidden/>
          </w:rPr>
          <w:fldChar w:fldCharType="begin"/>
        </w:r>
        <w:r w:rsidR="0010195C">
          <w:rPr>
            <w:noProof/>
            <w:webHidden/>
          </w:rPr>
          <w:instrText xml:space="preserve"> PAGEREF _Toc86240826 \h </w:instrText>
        </w:r>
        <w:r w:rsidR="0010195C">
          <w:rPr>
            <w:noProof/>
            <w:webHidden/>
          </w:rPr>
        </w:r>
        <w:r w:rsidR="0010195C">
          <w:rPr>
            <w:noProof/>
            <w:webHidden/>
          </w:rPr>
          <w:fldChar w:fldCharType="separate"/>
        </w:r>
        <w:r w:rsidR="00B316B9">
          <w:rPr>
            <w:noProof/>
            <w:webHidden/>
          </w:rPr>
          <w:t>10</w:t>
        </w:r>
        <w:r w:rsidR="0010195C">
          <w:rPr>
            <w:noProof/>
            <w:webHidden/>
          </w:rPr>
          <w:fldChar w:fldCharType="end"/>
        </w:r>
      </w:hyperlink>
    </w:p>
    <w:p w14:paraId="6BAC87B9" w14:textId="3DFFE3FE"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27" w:history="1">
        <w:r w:rsidR="0010195C" w:rsidRPr="00AA32C0">
          <w:rPr>
            <w:rStyle w:val="Hyperlink"/>
            <w:noProof/>
          </w:rPr>
          <w:t>1.5</w:t>
        </w:r>
        <w:r w:rsidR="0010195C">
          <w:rPr>
            <w:rFonts w:eastAsiaTheme="minorEastAsia" w:cstheme="minorBidi"/>
            <w:smallCaps w:val="0"/>
            <w:noProof/>
            <w:sz w:val="22"/>
            <w:szCs w:val="22"/>
            <w:lang w:eastAsia="en-GB" w:bidi="ar-SA"/>
          </w:rPr>
          <w:tab/>
        </w:r>
        <w:r w:rsidR="0010195C" w:rsidRPr="00AA32C0">
          <w:rPr>
            <w:rStyle w:val="Hyperlink"/>
            <w:noProof/>
          </w:rPr>
          <w:t>Reasons for accepting application</w:t>
        </w:r>
        <w:r w:rsidR="0010195C">
          <w:rPr>
            <w:noProof/>
            <w:webHidden/>
          </w:rPr>
          <w:tab/>
        </w:r>
        <w:r w:rsidR="0010195C">
          <w:rPr>
            <w:noProof/>
            <w:webHidden/>
          </w:rPr>
          <w:fldChar w:fldCharType="begin"/>
        </w:r>
        <w:r w:rsidR="0010195C">
          <w:rPr>
            <w:noProof/>
            <w:webHidden/>
          </w:rPr>
          <w:instrText xml:space="preserve"> PAGEREF _Toc86240827 \h </w:instrText>
        </w:r>
        <w:r w:rsidR="0010195C">
          <w:rPr>
            <w:noProof/>
            <w:webHidden/>
          </w:rPr>
        </w:r>
        <w:r w:rsidR="0010195C">
          <w:rPr>
            <w:noProof/>
            <w:webHidden/>
          </w:rPr>
          <w:fldChar w:fldCharType="separate"/>
        </w:r>
        <w:r w:rsidR="00B316B9">
          <w:rPr>
            <w:noProof/>
            <w:webHidden/>
          </w:rPr>
          <w:t>11</w:t>
        </w:r>
        <w:r w:rsidR="0010195C">
          <w:rPr>
            <w:noProof/>
            <w:webHidden/>
          </w:rPr>
          <w:fldChar w:fldCharType="end"/>
        </w:r>
      </w:hyperlink>
    </w:p>
    <w:p w14:paraId="54DFA311" w14:textId="7FB8739E"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28" w:history="1">
        <w:r w:rsidR="0010195C" w:rsidRPr="00AA32C0">
          <w:rPr>
            <w:rStyle w:val="Hyperlink"/>
            <w:noProof/>
          </w:rPr>
          <w:t>1.6</w:t>
        </w:r>
        <w:r w:rsidR="0010195C">
          <w:rPr>
            <w:rFonts w:eastAsiaTheme="minorEastAsia" w:cstheme="minorBidi"/>
            <w:smallCaps w:val="0"/>
            <w:noProof/>
            <w:sz w:val="22"/>
            <w:szCs w:val="22"/>
            <w:lang w:eastAsia="en-GB" w:bidi="ar-SA"/>
          </w:rPr>
          <w:tab/>
        </w:r>
        <w:r w:rsidR="0010195C" w:rsidRPr="00AA32C0">
          <w:rPr>
            <w:rStyle w:val="Hyperlink"/>
            <w:noProof/>
          </w:rPr>
          <w:t>Procedure for assessment</w:t>
        </w:r>
        <w:r w:rsidR="0010195C">
          <w:rPr>
            <w:noProof/>
            <w:webHidden/>
          </w:rPr>
          <w:tab/>
        </w:r>
        <w:r w:rsidR="0010195C">
          <w:rPr>
            <w:noProof/>
            <w:webHidden/>
          </w:rPr>
          <w:fldChar w:fldCharType="begin"/>
        </w:r>
        <w:r w:rsidR="0010195C">
          <w:rPr>
            <w:noProof/>
            <w:webHidden/>
          </w:rPr>
          <w:instrText xml:space="preserve"> PAGEREF _Toc86240828 \h </w:instrText>
        </w:r>
        <w:r w:rsidR="0010195C">
          <w:rPr>
            <w:noProof/>
            <w:webHidden/>
          </w:rPr>
        </w:r>
        <w:r w:rsidR="0010195C">
          <w:rPr>
            <w:noProof/>
            <w:webHidden/>
          </w:rPr>
          <w:fldChar w:fldCharType="separate"/>
        </w:r>
        <w:r w:rsidR="00B316B9">
          <w:rPr>
            <w:noProof/>
            <w:webHidden/>
          </w:rPr>
          <w:t>11</w:t>
        </w:r>
        <w:r w:rsidR="0010195C">
          <w:rPr>
            <w:noProof/>
            <w:webHidden/>
          </w:rPr>
          <w:fldChar w:fldCharType="end"/>
        </w:r>
      </w:hyperlink>
    </w:p>
    <w:p w14:paraId="227F9B85" w14:textId="2C98B5C7"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29" w:history="1">
        <w:r w:rsidR="0010195C" w:rsidRPr="00AA32C0">
          <w:rPr>
            <w:rStyle w:val="Hyperlink"/>
            <w:noProof/>
          </w:rPr>
          <w:t>1.7</w:t>
        </w:r>
        <w:r w:rsidR="0010195C">
          <w:rPr>
            <w:rFonts w:eastAsiaTheme="minorEastAsia" w:cstheme="minorBidi"/>
            <w:smallCaps w:val="0"/>
            <w:noProof/>
            <w:sz w:val="22"/>
            <w:szCs w:val="22"/>
            <w:lang w:eastAsia="en-GB" w:bidi="ar-SA"/>
          </w:rPr>
          <w:tab/>
        </w:r>
        <w:r w:rsidR="0010195C" w:rsidRPr="00AA32C0">
          <w:rPr>
            <w:rStyle w:val="Hyperlink"/>
            <w:noProof/>
          </w:rPr>
          <w:t>Decision</w:t>
        </w:r>
        <w:r w:rsidR="0010195C">
          <w:rPr>
            <w:noProof/>
            <w:webHidden/>
          </w:rPr>
          <w:tab/>
        </w:r>
        <w:r w:rsidR="0010195C">
          <w:rPr>
            <w:noProof/>
            <w:webHidden/>
          </w:rPr>
          <w:fldChar w:fldCharType="begin"/>
        </w:r>
        <w:r w:rsidR="0010195C">
          <w:rPr>
            <w:noProof/>
            <w:webHidden/>
          </w:rPr>
          <w:instrText xml:space="preserve"> PAGEREF _Toc86240829 \h </w:instrText>
        </w:r>
        <w:r w:rsidR="0010195C">
          <w:rPr>
            <w:noProof/>
            <w:webHidden/>
          </w:rPr>
        </w:r>
        <w:r w:rsidR="0010195C">
          <w:rPr>
            <w:noProof/>
            <w:webHidden/>
          </w:rPr>
          <w:fldChar w:fldCharType="separate"/>
        </w:r>
        <w:r w:rsidR="00B316B9">
          <w:rPr>
            <w:noProof/>
            <w:webHidden/>
          </w:rPr>
          <w:t>11</w:t>
        </w:r>
        <w:r w:rsidR="0010195C">
          <w:rPr>
            <w:noProof/>
            <w:webHidden/>
          </w:rPr>
          <w:fldChar w:fldCharType="end"/>
        </w:r>
      </w:hyperlink>
    </w:p>
    <w:p w14:paraId="147DF6B7" w14:textId="197C7BBA" w:rsidR="0010195C" w:rsidRDefault="00C628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6240830" w:history="1">
        <w:r w:rsidR="0010195C" w:rsidRPr="00AA32C0">
          <w:rPr>
            <w:rStyle w:val="Hyperlink"/>
            <w:noProof/>
          </w:rPr>
          <w:t>2.</w:t>
        </w:r>
        <w:r w:rsidR="0010195C">
          <w:rPr>
            <w:rFonts w:eastAsiaTheme="minorEastAsia" w:cstheme="minorBidi"/>
            <w:b w:val="0"/>
            <w:bCs w:val="0"/>
            <w:caps w:val="0"/>
            <w:noProof/>
            <w:sz w:val="22"/>
            <w:szCs w:val="22"/>
            <w:lang w:eastAsia="en-GB" w:bidi="ar-SA"/>
          </w:rPr>
          <w:tab/>
        </w:r>
        <w:r w:rsidR="0010195C" w:rsidRPr="00AA32C0">
          <w:rPr>
            <w:rStyle w:val="Hyperlink"/>
            <w:noProof/>
          </w:rPr>
          <w:t>Summary of the findings</w:t>
        </w:r>
        <w:r w:rsidR="0010195C">
          <w:rPr>
            <w:noProof/>
            <w:webHidden/>
          </w:rPr>
          <w:tab/>
        </w:r>
        <w:r w:rsidR="0010195C">
          <w:rPr>
            <w:noProof/>
            <w:webHidden/>
          </w:rPr>
          <w:fldChar w:fldCharType="begin"/>
        </w:r>
        <w:r w:rsidR="0010195C">
          <w:rPr>
            <w:noProof/>
            <w:webHidden/>
          </w:rPr>
          <w:instrText xml:space="preserve"> PAGEREF _Toc86240830 \h </w:instrText>
        </w:r>
        <w:r w:rsidR="0010195C">
          <w:rPr>
            <w:noProof/>
            <w:webHidden/>
          </w:rPr>
        </w:r>
        <w:r w:rsidR="0010195C">
          <w:rPr>
            <w:noProof/>
            <w:webHidden/>
          </w:rPr>
          <w:fldChar w:fldCharType="separate"/>
        </w:r>
        <w:r w:rsidR="00B316B9">
          <w:rPr>
            <w:noProof/>
            <w:webHidden/>
          </w:rPr>
          <w:t>12</w:t>
        </w:r>
        <w:r w:rsidR="0010195C">
          <w:rPr>
            <w:noProof/>
            <w:webHidden/>
          </w:rPr>
          <w:fldChar w:fldCharType="end"/>
        </w:r>
      </w:hyperlink>
    </w:p>
    <w:p w14:paraId="3F6E8334" w14:textId="3014F668"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31" w:history="1">
        <w:r w:rsidR="0010195C" w:rsidRPr="00AA32C0">
          <w:rPr>
            <w:rStyle w:val="Hyperlink"/>
            <w:noProof/>
          </w:rPr>
          <w:t>2.1</w:t>
        </w:r>
        <w:r w:rsidR="0010195C">
          <w:rPr>
            <w:rFonts w:eastAsiaTheme="minorEastAsia" w:cstheme="minorBidi"/>
            <w:smallCaps w:val="0"/>
            <w:noProof/>
            <w:sz w:val="22"/>
            <w:szCs w:val="22"/>
            <w:lang w:eastAsia="en-GB" w:bidi="ar-SA"/>
          </w:rPr>
          <w:tab/>
        </w:r>
        <w:r w:rsidR="0010195C" w:rsidRPr="00AA32C0">
          <w:rPr>
            <w:rStyle w:val="Hyperlink"/>
            <w:noProof/>
          </w:rPr>
          <w:t>Summary of issues raised in submissions</w:t>
        </w:r>
        <w:r w:rsidR="0010195C">
          <w:rPr>
            <w:noProof/>
            <w:webHidden/>
          </w:rPr>
          <w:tab/>
        </w:r>
        <w:r w:rsidR="0010195C">
          <w:rPr>
            <w:noProof/>
            <w:webHidden/>
          </w:rPr>
          <w:fldChar w:fldCharType="begin"/>
        </w:r>
        <w:r w:rsidR="0010195C">
          <w:rPr>
            <w:noProof/>
            <w:webHidden/>
          </w:rPr>
          <w:instrText xml:space="preserve"> PAGEREF _Toc86240831 \h </w:instrText>
        </w:r>
        <w:r w:rsidR="0010195C">
          <w:rPr>
            <w:noProof/>
            <w:webHidden/>
          </w:rPr>
        </w:r>
        <w:r w:rsidR="0010195C">
          <w:rPr>
            <w:noProof/>
            <w:webHidden/>
          </w:rPr>
          <w:fldChar w:fldCharType="separate"/>
        </w:r>
        <w:r w:rsidR="00B316B9">
          <w:rPr>
            <w:noProof/>
            <w:webHidden/>
          </w:rPr>
          <w:t>12</w:t>
        </w:r>
        <w:r w:rsidR="0010195C">
          <w:rPr>
            <w:noProof/>
            <w:webHidden/>
          </w:rPr>
          <w:fldChar w:fldCharType="end"/>
        </w:r>
      </w:hyperlink>
    </w:p>
    <w:p w14:paraId="0DAC28A0" w14:textId="715C5A8D"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32" w:history="1">
        <w:r w:rsidR="0010195C" w:rsidRPr="00AA32C0">
          <w:rPr>
            <w:rStyle w:val="Hyperlink"/>
            <w:noProof/>
          </w:rPr>
          <w:t>2.2</w:t>
        </w:r>
        <w:r w:rsidR="0010195C">
          <w:rPr>
            <w:rFonts w:eastAsiaTheme="minorEastAsia" w:cstheme="minorBidi"/>
            <w:smallCaps w:val="0"/>
            <w:noProof/>
            <w:sz w:val="22"/>
            <w:szCs w:val="22"/>
            <w:lang w:eastAsia="en-GB" w:bidi="ar-SA"/>
          </w:rPr>
          <w:tab/>
        </w:r>
        <w:r w:rsidR="0010195C" w:rsidRPr="00AA32C0">
          <w:rPr>
            <w:rStyle w:val="Hyperlink"/>
            <w:noProof/>
          </w:rPr>
          <w:t>Risk assessment</w:t>
        </w:r>
        <w:r w:rsidR="0010195C">
          <w:rPr>
            <w:noProof/>
            <w:webHidden/>
          </w:rPr>
          <w:tab/>
        </w:r>
        <w:r w:rsidR="0010195C">
          <w:rPr>
            <w:noProof/>
            <w:webHidden/>
          </w:rPr>
          <w:fldChar w:fldCharType="begin"/>
        </w:r>
        <w:r w:rsidR="0010195C">
          <w:rPr>
            <w:noProof/>
            <w:webHidden/>
          </w:rPr>
          <w:instrText xml:space="preserve"> PAGEREF _Toc86240832 \h </w:instrText>
        </w:r>
        <w:r w:rsidR="0010195C">
          <w:rPr>
            <w:noProof/>
            <w:webHidden/>
          </w:rPr>
        </w:r>
        <w:r w:rsidR="0010195C">
          <w:rPr>
            <w:noProof/>
            <w:webHidden/>
          </w:rPr>
          <w:fldChar w:fldCharType="separate"/>
        </w:r>
        <w:r w:rsidR="00B316B9">
          <w:rPr>
            <w:noProof/>
            <w:webHidden/>
          </w:rPr>
          <w:t>18</w:t>
        </w:r>
        <w:r w:rsidR="0010195C">
          <w:rPr>
            <w:noProof/>
            <w:webHidden/>
          </w:rPr>
          <w:fldChar w:fldCharType="end"/>
        </w:r>
      </w:hyperlink>
    </w:p>
    <w:p w14:paraId="209F4796" w14:textId="5C04DDDD" w:rsidR="0010195C" w:rsidRDefault="00C628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6240833" w:history="1">
        <w:r w:rsidR="0010195C" w:rsidRPr="00AA32C0">
          <w:rPr>
            <w:rStyle w:val="Hyperlink"/>
            <w:noProof/>
          </w:rPr>
          <w:t>3.</w:t>
        </w:r>
        <w:r w:rsidR="0010195C">
          <w:rPr>
            <w:rFonts w:eastAsiaTheme="minorEastAsia" w:cstheme="minorBidi"/>
            <w:b w:val="0"/>
            <w:bCs w:val="0"/>
            <w:caps w:val="0"/>
            <w:noProof/>
            <w:sz w:val="22"/>
            <w:szCs w:val="22"/>
            <w:lang w:eastAsia="en-GB" w:bidi="ar-SA"/>
          </w:rPr>
          <w:tab/>
        </w:r>
        <w:r w:rsidR="0010195C" w:rsidRPr="00AA32C0">
          <w:rPr>
            <w:rStyle w:val="Hyperlink"/>
            <w:noProof/>
          </w:rPr>
          <w:t>Risk management</w:t>
        </w:r>
        <w:r w:rsidR="0010195C">
          <w:rPr>
            <w:noProof/>
            <w:webHidden/>
          </w:rPr>
          <w:tab/>
        </w:r>
        <w:r w:rsidR="0010195C">
          <w:rPr>
            <w:noProof/>
            <w:webHidden/>
          </w:rPr>
          <w:fldChar w:fldCharType="begin"/>
        </w:r>
        <w:r w:rsidR="0010195C">
          <w:rPr>
            <w:noProof/>
            <w:webHidden/>
          </w:rPr>
          <w:instrText xml:space="preserve"> PAGEREF _Toc86240833 \h </w:instrText>
        </w:r>
        <w:r w:rsidR="0010195C">
          <w:rPr>
            <w:noProof/>
            <w:webHidden/>
          </w:rPr>
        </w:r>
        <w:r w:rsidR="0010195C">
          <w:rPr>
            <w:noProof/>
            <w:webHidden/>
          </w:rPr>
          <w:fldChar w:fldCharType="separate"/>
        </w:r>
        <w:r w:rsidR="00B316B9">
          <w:rPr>
            <w:noProof/>
            <w:webHidden/>
          </w:rPr>
          <w:t>19</w:t>
        </w:r>
        <w:r w:rsidR="0010195C">
          <w:rPr>
            <w:noProof/>
            <w:webHidden/>
          </w:rPr>
          <w:fldChar w:fldCharType="end"/>
        </w:r>
      </w:hyperlink>
    </w:p>
    <w:p w14:paraId="198A0795" w14:textId="07EB362A"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34" w:history="1">
        <w:r w:rsidR="0010195C" w:rsidRPr="00AA32C0">
          <w:rPr>
            <w:rStyle w:val="Hyperlink"/>
            <w:noProof/>
          </w:rPr>
          <w:t>3.1</w:t>
        </w:r>
        <w:r w:rsidR="0010195C">
          <w:rPr>
            <w:rFonts w:eastAsiaTheme="minorEastAsia" w:cstheme="minorBidi"/>
            <w:smallCaps w:val="0"/>
            <w:noProof/>
            <w:sz w:val="22"/>
            <w:szCs w:val="22"/>
            <w:lang w:eastAsia="en-GB" w:bidi="ar-SA"/>
          </w:rPr>
          <w:tab/>
        </w:r>
        <w:r w:rsidR="0010195C" w:rsidRPr="00AA32C0">
          <w:rPr>
            <w:rStyle w:val="Hyperlink"/>
            <w:noProof/>
          </w:rPr>
          <w:t>Limitations and benefits of current dietary fibre methods of analysis permitted in the Code</w:t>
        </w:r>
        <w:r w:rsidR="0010195C">
          <w:rPr>
            <w:noProof/>
            <w:webHidden/>
          </w:rPr>
          <w:tab/>
        </w:r>
        <w:r w:rsidR="0010195C">
          <w:rPr>
            <w:noProof/>
            <w:webHidden/>
          </w:rPr>
          <w:fldChar w:fldCharType="begin"/>
        </w:r>
        <w:r w:rsidR="0010195C">
          <w:rPr>
            <w:noProof/>
            <w:webHidden/>
          </w:rPr>
          <w:instrText xml:space="preserve"> PAGEREF _Toc86240834 \h </w:instrText>
        </w:r>
        <w:r w:rsidR="0010195C">
          <w:rPr>
            <w:noProof/>
            <w:webHidden/>
          </w:rPr>
        </w:r>
        <w:r w:rsidR="0010195C">
          <w:rPr>
            <w:noProof/>
            <w:webHidden/>
          </w:rPr>
          <w:fldChar w:fldCharType="separate"/>
        </w:r>
        <w:r w:rsidR="00B316B9">
          <w:rPr>
            <w:noProof/>
            <w:webHidden/>
          </w:rPr>
          <w:t>19</w:t>
        </w:r>
        <w:r w:rsidR="0010195C">
          <w:rPr>
            <w:noProof/>
            <w:webHidden/>
          </w:rPr>
          <w:fldChar w:fldCharType="end"/>
        </w:r>
      </w:hyperlink>
    </w:p>
    <w:p w14:paraId="5F519A8C" w14:textId="68B987B6"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35" w:history="1">
        <w:r w:rsidR="0010195C" w:rsidRPr="00AA32C0">
          <w:rPr>
            <w:rStyle w:val="Hyperlink"/>
            <w:noProof/>
          </w:rPr>
          <w:t>3.2</w:t>
        </w:r>
        <w:r w:rsidR="0010195C">
          <w:rPr>
            <w:rFonts w:eastAsiaTheme="minorEastAsia" w:cstheme="minorBidi"/>
            <w:smallCaps w:val="0"/>
            <w:noProof/>
            <w:sz w:val="22"/>
            <w:szCs w:val="22"/>
            <w:lang w:eastAsia="en-GB" w:bidi="ar-SA"/>
          </w:rPr>
          <w:tab/>
        </w:r>
        <w:r w:rsidR="0010195C" w:rsidRPr="00AA32C0">
          <w:rPr>
            <w:rStyle w:val="Hyperlink"/>
            <w:noProof/>
          </w:rPr>
          <w:t>Limitations and benefits of AOAC 2017.16</w:t>
        </w:r>
        <w:r w:rsidR="0010195C">
          <w:rPr>
            <w:noProof/>
            <w:webHidden/>
          </w:rPr>
          <w:tab/>
        </w:r>
        <w:r w:rsidR="0010195C">
          <w:rPr>
            <w:noProof/>
            <w:webHidden/>
          </w:rPr>
          <w:fldChar w:fldCharType="begin"/>
        </w:r>
        <w:r w:rsidR="0010195C">
          <w:rPr>
            <w:noProof/>
            <w:webHidden/>
          </w:rPr>
          <w:instrText xml:space="preserve"> PAGEREF _Toc86240835 \h </w:instrText>
        </w:r>
        <w:r w:rsidR="0010195C">
          <w:rPr>
            <w:noProof/>
            <w:webHidden/>
          </w:rPr>
        </w:r>
        <w:r w:rsidR="0010195C">
          <w:rPr>
            <w:noProof/>
            <w:webHidden/>
          </w:rPr>
          <w:fldChar w:fldCharType="separate"/>
        </w:r>
        <w:r w:rsidR="00B316B9">
          <w:rPr>
            <w:noProof/>
            <w:webHidden/>
          </w:rPr>
          <w:t>20</w:t>
        </w:r>
        <w:r w:rsidR="0010195C">
          <w:rPr>
            <w:noProof/>
            <w:webHidden/>
          </w:rPr>
          <w:fldChar w:fldCharType="end"/>
        </w:r>
      </w:hyperlink>
    </w:p>
    <w:p w14:paraId="58A2C845" w14:textId="5CB41CA2"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36" w:history="1">
        <w:r w:rsidR="0010195C" w:rsidRPr="00AA32C0">
          <w:rPr>
            <w:rStyle w:val="Hyperlink"/>
            <w:noProof/>
          </w:rPr>
          <w:t>3.2.1</w:t>
        </w:r>
        <w:r w:rsidR="0010195C">
          <w:rPr>
            <w:rFonts w:eastAsiaTheme="minorEastAsia" w:cstheme="minorBidi"/>
            <w:i w:val="0"/>
            <w:iCs w:val="0"/>
            <w:noProof/>
            <w:sz w:val="22"/>
            <w:szCs w:val="22"/>
            <w:lang w:eastAsia="en-GB" w:bidi="ar-SA"/>
          </w:rPr>
          <w:tab/>
        </w:r>
        <w:r w:rsidR="0010195C" w:rsidRPr="00AA32C0">
          <w:rPr>
            <w:rStyle w:val="Hyperlink"/>
            <w:noProof/>
          </w:rPr>
          <w:t>Regulation of dietary fibre differs between countries comparable to Australia and New Zealand</w:t>
        </w:r>
        <w:r w:rsidR="0010195C">
          <w:rPr>
            <w:noProof/>
            <w:webHidden/>
          </w:rPr>
          <w:tab/>
        </w:r>
        <w:r w:rsidR="0010195C">
          <w:rPr>
            <w:noProof/>
            <w:webHidden/>
          </w:rPr>
          <w:fldChar w:fldCharType="begin"/>
        </w:r>
        <w:r w:rsidR="0010195C">
          <w:rPr>
            <w:noProof/>
            <w:webHidden/>
          </w:rPr>
          <w:instrText xml:space="preserve"> PAGEREF _Toc86240836 \h </w:instrText>
        </w:r>
        <w:r w:rsidR="0010195C">
          <w:rPr>
            <w:noProof/>
            <w:webHidden/>
          </w:rPr>
        </w:r>
        <w:r w:rsidR="0010195C">
          <w:rPr>
            <w:noProof/>
            <w:webHidden/>
          </w:rPr>
          <w:fldChar w:fldCharType="separate"/>
        </w:r>
        <w:r w:rsidR="00B316B9">
          <w:rPr>
            <w:noProof/>
            <w:webHidden/>
          </w:rPr>
          <w:t>20</w:t>
        </w:r>
        <w:r w:rsidR="0010195C">
          <w:rPr>
            <w:noProof/>
            <w:webHidden/>
          </w:rPr>
          <w:fldChar w:fldCharType="end"/>
        </w:r>
      </w:hyperlink>
    </w:p>
    <w:p w14:paraId="77E9EFFB" w14:textId="24C40292"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37" w:history="1">
        <w:r w:rsidR="0010195C" w:rsidRPr="00AA32C0">
          <w:rPr>
            <w:rStyle w:val="Hyperlink"/>
            <w:noProof/>
          </w:rPr>
          <w:t>3.2.2</w:t>
        </w:r>
        <w:r w:rsidR="0010195C">
          <w:rPr>
            <w:rFonts w:eastAsiaTheme="minorEastAsia" w:cstheme="minorBidi"/>
            <w:i w:val="0"/>
            <w:iCs w:val="0"/>
            <w:noProof/>
            <w:sz w:val="22"/>
            <w:szCs w:val="22"/>
            <w:lang w:eastAsia="en-GB" w:bidi="ar-SA"/>
          </w:rPr>
          <w:tab/>
        </w:r>
        <w:r w:rsidR="0010195C" w:rsidRPr="00AA32C0">
          <w:rPr>
            <w:rStyle w:val="Hyperlink"/>
            <w:noProof/>
          </w:rPr>
          <w:t>Consideration of isomalto-oligosaccharides</w:t>
        </w:r>
        <w:r w:rsidR="0010195C">
          <w:rPr>
            <w:noProof/>
            <w:webHidden/>
          </w:rPr>
          <w:tab/>
        </w:r>
        <w:r w:rsidR="0010195C">
          <w:rPr>
            <w:noProof/>
            <w:webHidden/>
          </w:rPr>
          <w:fldChar w:fldCharType="begin"/>
        </w:r>
        <w:r w:rsidR="0010195C">
          <w:rPr>
            <w:noProof/>
            <w:webHidden/>
          </w:rPr>
          <w:instrText xml:space="preserve"> PAGEREF _Toc86240837 \h </w:instrText>
        </w:r>
        <w:r w:rsidR="0010195C">
          <w:rPr>
            <w:noProof/>
            <w:webHidden/>
          </w:rPr>
        </w:r>
        <w:r w:rsidR="0010195C">
          <w:rPr>
            <w:noProof/>
            <w:webHidden/>
          </w:rPr>
          <w:fldChar w:fldCharType="separate"/>
        </w:r>
        <w:r w:rsidR="00B316B9">
          <w:rPr>
            <w:noProof/>
            <w:webHidden/>
          </w:rPr>
          <w:t>20</w:t>
        </w:r>
        <w:r w:rsidR="0010195C">
          <w:rPr>
            <w:noProof/>
            <w:webHidden/>
          </w:rPr>
          <w:fldChar w:fldCharType="end"/>
        </w:r>
      </w:hyperlink>
    </w:p>
    <w:p w14:paraId="64A8661E" w14:textId="2F82B084"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38" w:history="1">
        <w:r w:rsidR="0010195C" w:rsidRPr="00AA32C0">
          <w:rPr>
            <w:rStyle w:val="Hyperlink"/>
            <w:noProof/>
          </w:rPr>
          <w:t>3.2.3</w:t>
        </w:r>
        <w:r w:rsidR="0010195C">
          <w:rPr>
            <w:rFonts w:eastAsiaTheme="minorEastAsia" w:cstheme="minorBidi"/>
            <w:i w:val="0"/>
            <w:iCs w:val="0"/>
            <w:noProof/>
            <w:sz w:val="22"/>
            <w:szCs w:val="22"/>
            <w:lang w:eastAsia="en-GB" w:bidi="ar-SA"/>
          </w:rPr>
          <w:tab/>
        </w:r>
        <w:r w:rsidR="0010195C" w:rsidRPr="00AA32C0">
          <w:rPr>
            <w:rStyle w:val="Hyperlink"/>
            <w:noProof/>
          </w:rPr>
          <w:t>Synthetic analogues of GOS and IMO in foods in Australia and New Zealand</w:t>
        </w:r>
        <w:r w:rsidR="0010195C">
          <w:rPr>
            <w:noProof/>
            <w:webHidden/>
          </w:rPr>
          <w:tab/>
        </w:r>
        <w:r w:rsidR="0010195C">
          <w:rPr>
            <w:noProof/>
            <w:webHidden/>
          </w:rPr>
          <w:fldChar w:fldCharType="begin"/>
        </w:r>
        <w:r w:rsidR="0010195C">
          <w:rPr>
            <w:noProof/>
            <w:webHidden/>
          </w:rPr>
          <w:instrText xml:space="preserve"> PAGEREF _Toc86240838 \h </w:instrText>
        </w:r>
        <w:r w:rsidR="0010195C">
          <w:rPr>
            <w:noProof/>
            <w:webHidden/>
          </w:rPr>
        </w:r>
        <w:r w:rsidR="0010195C">
          <w:rPr>
            <w:noProof/>
            <w:webHidden/>
          </w:rPr>
          <w:fldChar w:fldCharType="separate"/>
        </w:r>
        <w:r w:rsidR="00B316B9">
          <w:rPr>
            <w:noProof/>
            <w:webHidden/>
          </w:rPr>
          <w:t>21</w:t>
        </w:r>
        <w:r w:rsidR="0010195C">
          <w:rPr>
            <w:noProof/>
            <w:webHidden/>
          </w:rPr>
          <w:fldChar w:fldCharType="end"/>
        </w:r>
      </w:hyperlink>
    </w:p>
    <w:p w14:paraId="2B628981" w14:textId="64F9C720"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39" w:history="1">
        <w:r w:rsidR="0010195C" w:rsidRPr="00AA32C0">
          <w:rPr>
            <w:rStyle w:val="Hyperlink"/>
            <w:rFonts w:cs="Arial"/>
            <w:noProof/>
          </w:rPr>
          <w:t>3.2.4</w:t>
        </w:r>
        <w:r w:rsidR="0010195C">
          <w:rPr>
            <w:rFonts w:eastAsiaTheme="minorEastAsia" w:cstheme="minorBidi"/>
            <w:i w:val="0"/>
            <w:iCs w:val="0"/>
            <w:noProof/>
            <w:sz w:val="22"/>
            <w:szCs w:val="22"/>
            <w:lang w:eastAsia="en-GB" w:bidi="ar-SA"/>
          </w:rPr>
          <w:tab/>
        </w:r>
        <w:r w:rsidR="0010195C" w:rsidRPr="00AA32C0">
          <w:rPr>
            <w:rStyle w:val="Hyperlink"/>
            <w:noProof/>
          </w:rPr>
          <w:t>The b</w:t>
        </w:r>
        <w:r w:rsidR="0010195C" w:rsidRPr="00AA32C0">
          <w:rPr>
            <w:rStyle w:val="Hyperlink"/>
            <w:rFonts w:cs="Arial"/>
            <w:noProof/>
          </w:rPr>
          <w:t>eneficial physiological effects recognised by other countries for dietary fibre</w:t>
        </w:r>
        <w:r w:rsidR="0010195C">
          <w:rPr>
            <w:noProof/>
            <w:webHidden/>
          </w:rPr>
          <w:tab/>
        </w:r>
        <w:r w:rsidR="0010195C">
          <w:rPr>
            <w:noProof/>
            <w:webHidden/>
          </w:rPr>
          <w:fldChar w:fldCharType="begin"/>
        </w:r>
        <w:r w:rsidR="0010195C">
          <w:rPr>
            <w:noProof/>
            <w:webHidden/>
          </w:rPr>
          <w:instrText xml:space="preserve"> PAGEREF _Toc86240839 \h </w:instrText>
        </w:r>
        <w:r w:rsidR="0010195C">
          <w:rPr>
            <w:noProof/>
            <w:webHidden/>
          </w:rPr>
        </w:r>
        <w:r w:rsidR="0010195C">
          <w:rPr>
            <w:noProof/>
            <w:webHidden/>
          </w:rPr>
          <w:fldChar w:fldCharType="separate"/>
        </w:r>
        <w:r w:rsidR="00B316B9">
          <w:rPr>
            <w:noProof/>
            <w:webHidden/>
          </w:rPr>
          <w:t>21</w:t>
        </w:r>
        <w:r w:rsidR="0010195C">
          <w:rPr>
            <w:noProof/>
            <w:webHidden/>
          </w:rPr>
          <w:fldChar w:fldCharType="end"/>
        </w:r>
      </w:hyperlink>
    </w:p>
    <w:p w14:paraId="7E41F652" w14:textId="3CDC1F8D"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40" w:history="1">
        <w:r w:rsidR="0010195C" w:rsidRPr="00AA32C0">
          <w:rPr>
            <w:rStyle w:val="Hyperlink"/>
            <w:noProof/>
          </w:rPr>
          <w:t>3.2.5</w:t>
        </w:r>
        <w:r w:rsidR="0010195C">
          <w:rPr>
            <w:rFonts w:eastAsiaTheme="minorEastAsia" w:cstheme="minorBidi"/>
            <w:i w:val="0"/>
            <w:iCs w:val="0"/>
            <w:noProof/>
            <w:sz w:val="22"/>
            <w:szCs w:val="22"/>
            <w:lang w:eastAsia="en-GB" w:bidi="ar-SA"/>
          </w:rPr>
          <w:tab/>
        </w:r>
        <w:r w:rsidR="0010195C" w:rsidRPr="00AA32C0">
          <w:rPr>
            <w:rStyle w:val="Hyperlink"/>
            <w:rFonts w:cs="Arial"/>
            <w:noProof/>
          </w:rPr>
          <w:t>Practical considerations with a restriction of AOAC 2017.16 on GOS or IMO containing foods</w:t>
        </w:r>
        <w:r w:rsidR="0010195C">
          <w:rPr>
            <w:noProof/>
            <w:webHidden/>
          </w:rPr>
          <w:tab/>
        </w:r>
        <w:r w:rsidR="0010195C">
          <w:rPr>
            <w:noProof/>
            <w:webHidden/>
          </w:rPr>
          <w:fldChar w:fldCharType="begin"/>
        </w:r>
        <w:r w:rsidR="0010195C">
          <w:rPr>
            <w:noProof/>
            <w:webHidden/>
          </w:rPr>
          <w:instrText xml:space="preserve"> PAGEREF _Toc86240840 \h </w:instrText>
        </w:r>
        <w:r w:rsidR="0010195C">
          <w:rPr>
            <w:noProof/>
            <w:webHidden/>
          </w:rPr>
        </w:r>
        <w:r w:rsidR="0010195C">
          <w:rPr>
            <w:noProof/>
            <w:webHidden/>
          </w:rPr>
          <w:fldChar w:fldCharType="separate"/>
        </w:r>
        <w:r w:rsidR="00B316B9">
          <w:rPr>
            <w:noProof/>
            <w:webHidden/>
          </w:rPr>
          <w:t>22</w:t>
        </w:r>
        <w:r w:rsidR="0010195C">
          <w:rPr>
            <w:noProof/>
            <w:webHidden/>
          </w:rPr>
          <w:fldChar w:fldCharType="end"/>
        </w:r>
      </w:hyperlink>
    </w:p>
    <w:p w14:paraId="4393AD89" w14:textId="6E71FCB5"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41" w:history="1">
        <w:r w:rsidR="0010195C" w:rsidRPr="00AA32C0">
          <w:rPr>
            <w:rStyle w:val="Hyperlink"/>
            <w:noProof/>
            <w:lang w:val="en-AU"/>
          </w:rPr>
          <w:t>3.2.6</w:t>
        </w:r>
        <w:r w:rsidR="0010195C">
          <w:rPr>
            <w:rFonts w:eastAsiaTheme="minorEastAsia" w:cstheme="minorBidi"/>
            <w:i w:val="0"/>
            <w:iCs w:val="0"/>
            <w:noProof/>
            <w:sz w:val="22"/>
            <w:szCs w:val="22"/>
            <w:lang w:eastAsia="en-GB" w:bidi="ar-SA"/>
          </w:rPr>
          <w:tab/>
        </w:r>
        <w:r w:rsidR="0010195C" w:rsidRPr="00AA32C0">
          <w:rPr>
            <w:rStyle w:val="Hyperlink"/>
            <w:noProof/>
            <w:lang w:val="en-AU"/>
          </w:rPr>
          <w:t>AOAC 2017.16 adoption by Codex</w:t>
        </w:r>
        <w:r w:rsidR="0010195C" w:rsidRPr="00AA32C0">
          <w:rPr>
            <w:rStyle w:val="Hyperlink"/>
            <w:noProof/>
          </w:rPr>
          <w:t xml:space="preserve"> in place of AOAC 2009.01</w:t>
        </w:r>
        <w:r w:rsidR="0010195C">
          <w:rPr>
            <w:noProof/>
            <w:webHidden/>
          </w:rPr>
          <w:tab/>
        </w:r>
        <w:r w:rsidR="0010195C">
          <w:rPr>
            <w:noProof/>
            <w:webHidden/>
          </w:rPr>
          <w:fldChar w:fldCharType="begin"/>
        </w:r>
        <w:r w:rsidR="0010195C">
          <w:rPr>
            <w:noProof/>
            <w:webHidden/>
          </w:rPr>
          <w:instrText xml:space="preserve"> PAGEREF _Toc86240841 \h </w:instrText>
        </w:r>
        <w:r w:rsidR="0010195C">
          <w:rPr>
            <w:noProof/>
            <w:webHidden/>
          </w:rPr>
        </w:r>
        <w:r w:rsidR="0010195C">
          <w:rPr>
            <w:noProof/>
            <w:webHidden/>
          </w:rPr>
          <w:fldChar w:fldCharType="separate"/>
        </w:r>
        <w:r w:rsidR="00B316B9">
          <w:rPr>
            <w:noProof/>
            <w:webHidden/>
          </w:rPr>
          <w:t>22</w:t>
        </w:r>
        <w:r w:rsidR="0010195C">
          <w:rPr>
            <w:noProof/>
            <w:webHidden/>
          </w:rPr>
          <w:fldChar w:fldCharType="end"/>
        </w:r>
      </w:hyperlink>
    </w:p>
    <w:p w14:paraId="13754374" w14:textId="4C23D334"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42" w:history="1">
        <w:r w:rsidR="0010195C" w:rsidRPr="00AA32C0">
          <w:rPr>
            <w:rStyle w:val="Hyperlink"/>
            <w:noProof/>
          </w:rPr>
          <w:t>3.3</w:t>
        </w:r>
        <w:r w:rsidR="0010195C">
          <w:rPr>
            <w:rFonts w:eastAsiaTheme="minorEastAsia" w:cstheme="minorBidi"/>
            <w:smallCaps w:val="0"/>
            <w:noProof/>
            <w:sz w:val="22"/>
            <w:szCs w:val="22"/>
            <w:lang w:eastAsia="en-GB" w:bidi="ar-SA"/>
          </w:rPr>
          <w:tab/>
        </w:r>
        <w:r w:rsidR="0010195C" w:rsidRPr="00AA32C0">
          <w:rPr>
            <w:rStyle w:val="Hyperlink"/>
            <w:noProof/>
          </w:rPr>
          <w:t>Updating reference to the AOAC Official Methods of Analysis edition in the Code</w:t>
        </w:r>
        <w:r w:rsidR="0010195C">
          <w:rPr>
            <w:noProof/>
            <w:webHidden/>
          </w:rPr>
          <w:tab/>
        </w:r>
        <w:r w:rsidR="0010195C">
          <w:rPr>
            <w:noProof/>
            <w:webHidden/>
          </w:rPr>
          <w:fldChar w:fldCharType="begin"/>
        </w:r>
        <w:r w:rsidR="0010195C">
          <w:rPr>
            <w:noProof/>
            <w:webHidden/>
          </w:rPr>
          <w:instrText xml:space="preserve"> PAGEREF _Toc86240842 \h </w:instrText>
        </w:r>
        <w:r w:rsidR="0010195C">
          <w:rPr>
            <w:noProof/>
            <w:webHidden/>
          </w:rPr>
        </w:r>
        <w:r w:rsidR="0010195C">
          <w:rPr>
            <w:noProof/>
            <w:webHidden/>
          </w:rPr>
          <w:fldChar w:fldCharType="separate"/>
        </w:r>
        <w:r w:rsidR="00B316B9">
          <w:rPr>
            <w:noProof/>
            <w:webHidden/>
          </w:rPr>
          <w:t>22</w:t>
        </w:r>
        <w:r w:rsidR="0010195C">
          <w:rPr>
            <w:noProof/>
            <w:webHidden/>
          </w:rPr>
          <w:fldChar w:fldCharType="end"/>
        </w:r>
      </w:hyperlink>
    </w:p>
    <w:p w14:paraId="14A97516" w14:textId="2B6C2526"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43" w:history="1">
        <w:r w:rsidR="0010195C" w:rsidRPr="00AA32C0">
          <w:rPr>
            <w:rStyle w:val="Hyperlink"/>
            <w:noProof/>
            <w:lang w:val="en-AU"/>
          </w:rPr>
          <w:t>3.4</w:t>
        </w:r>
        <w:r w:rsidR="0010195C">
          <w:rPr>
            <w:rFonts w:eastAsiaTheme="minorEastAsia" w:cstheme="minorBidi"/>
            <w:smallCaps w:val="0"/>
            <w:noProof/>
            <w:sz w:val="22"/>
            <w:szCs w:val="22"/>
            <w:lang w:eastAsia="en-GB" w:bidi="ar-SA"/>
          </w:rPr>
          <w:tab/>
        </w:r>
        <w:r w:rsidR="0010195C" w:rsidRPr="00AA32C0">
          <w:rPr>
            <w:rStyle w:val="Hyperlink"/>
            <w:noProof/>
            <w:lang w:val="en-AU"/>
          </w:rPr>
          <w:t>Risk Management Conclusion</w:t>
        </w:r>
        <w:r w:rsidR="0010195C">
          <w:rPr>
            <w:noProof/>
            <w:webHidden/>
          </w:rPr>
          <w:tab/>
        </w:r>
        <w:r w:rsidR="0010195C">
          <w:rPr>
            <w:noProof/>
            <w:webHidden/>
          </w:rPr>
          <w:fldChar w:fldCharType="begin"/>
        </w:r>
        <w:r w:rsidR="0010195C">
          <w:rPr>
            <w:noProof/>
            <w:webHidden/>
          </w:rPr>
          <w:instrText xml:space="preserve"> PAGEREF _Toc86240843 \h </w:instrText>
        </w:r>
        <w:r w:rsidR="0010195C">
          <w:rPr>
            <w:noProof/>
            <w:webHidden/>
          </w:rPr>
        </w:r>
        <w:r w:rsidR="0010195C">
          <w:rPr>
            <w:noProof/>
            <w:webHidden/>
          </w:rPr>
          <w:fldChar w:fldCharType="separate"/>
        </w:r>
        <w:r w:rsidR="00B316B9">
          <w:rPr>
            <w:noProof/>
            <w:webHidden/>
          </w:rPr>
          <w:t>23</w:t>
        </w:r>
        <w:r w:rsidR="0010195C">
          <w:rPr>
            <w:noProof/>
            <w:webHidden/>
          </w:rPr>
          <w:fldChar w:fldCharType="end"/>
        </w:r>
      </w:hyperlink>
    </w:p>
    <w:p w14:paraId="43FD8C75" w14:textId="38CA19A0" w:rsidR="0010195C" w:rsidRDefault="00C628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6240844" w:history="1">
        <w:r w:rsidR="0010195C" w:rsidRPr="00AA32C0">
          <w:rPr>
            <w:rStyle w:val="Hyperlink"/>
            <w:noProof/>
          </w:rPr>
          <w:t>4.</w:t>
        </w:r>
        <w:r w:rsidR="0010195C">
          <w:rPr>
            <w:rFonts w:eastAsiaTheme="minorEastAsia" w:cstheme="minorBidi"/>
            <w:b w:val="0"/>
            <w:bCs w:val="0"/>
            <w:caps w:val="0"/>
            <w:noProof/>
            <w:sz w:val="22"/>
            <w:szCs w:val="22"/>
            <w:lang w:eastAsia="en-GB" w:bidi="ar-SA"/>
          </w:rPr>
          <w:tab/>
        </w:r>
        <w:r w:rsidR="0010195C" w:rsidRPr="00AA32C0">
          <w:rPr>
            <w:rStyle w:val="Hyperlink"/>
            <w:noProof/>
          </w:rPr>
          <w:t>Risk communication</w:t>
        </w:r>
        <w:r w:rsidR="0010195C">
          <w:rPr>
            <w:noProof/>
            <w:webHidden/>
          </w:rPr>
          <w:tab/>
        </w:r>
        <w:r w:rsidR="0010195C">
          <w:rPr>
            <w:noProof/>
            <w:webHidden/>
          </w:rPr>
          <w:fldChar w:fldCharType="begin"/>
        </w:r>
        <w:r w:rsidR="0010195C">
          <w:rPr>
            <w:noProof/>
            <w:webHidden/>
          </w:rPr>
          <w:instrText xml:space="preserve"> PAGEREF _Toc86240844 \h </w:instrText>
        </w:r>
        <w:r w:rsidR="0010195C">
          <w:rPr>
            <w:noProof/>
            <w:webHidden/>
          </w:rPr>
        </w:r>
        <w:r w:rsidR="0010195C">
          <w:rPr>
            <w:noProof/>
            <w:webHidden/>
          </w:rPr>
          <w:fldChar w:fldCharType="separate"/>
        </w:r>
        <w:r w:rsidR="00B316B9">
          <w:rPr>
            <w:noProof/>
            <w:webHidden/>
          </w:rPr>
          <w:t>24</w:t>
        </w:r>
        <w:r w:rsidR="0010195C">
          <w:rPr>
            <w:noProof/>
            <w:webHidden/>
          </w:rPr>
          <w:fldChar w:fldCharType="end"/>
        </w:r>
      </w:hyperlink>
    </w:p>
    <w:p w14:paraId="71023892" w14:textId="626B8D5D"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45" w:history="1">
        <w:r w:rsidR="0010195C" w:rsidRPr="00AA32C0">
          <w:rPr>
            <w:rStyle w:val="Hyperlink"/>
            <w:noProof/>
          </w:rPr>
          <w:t>4.1</w:t>
        </w:r>
        <w:r w:rsidR="0010195C">
          <w:rPr>
            <w:rFonts w:eastAsiaTheme="minorEastAsia" w:cstheme="minorBidi"/>
            <w:smallCaps w:val="0"/>
            <w:noProof/>
            <w:sz w:val="22"/>
            <w:szCs w:val="22"/>
            <w:lang w:eastAsia="en-GB" w:bidi="ar-SA"/>
          </w:rPr>
          <w:tab/>
        </w:r>
        <w:r w:rsidR="0010195C" w:rsidRPr="00AA32C0">
          <w:rPr>
            <w:rStyle w:val="Hyperlink"/>
            <w:noProof/>
          </w:rPr>
          <w:t>Consultation</w:t>
        </w:r>
        <w:r w:rsidR="0010195C">
          <w:rPr>
            <w:noProof/>
            <w:webHidden/>
          </w:rPr>
          <w:tab/>
        </w:r>
        <w:r w:rsidR="0010195C">
          <w:rPr>
            <w:noProof/>
            <w:webHidden/>
          </w:rPr>
          <w:fldChar w:fldCharType="begin"/>
        </w:r>
        <w:r w:rsidR="0010195C">
          <w:rPr>
            <w:noProof/>
            <w:webHidden/>
          </w:rPr>
          <w:instrText xml:space="preserve"> PAGEREF _Toc86240845 \h </w:instrText>
        </w:r>
        <w:r w:rsidR="0010195C">
          <w:rPr>
            <w:noProof/>
            <w:webHidden/>
          </w:rPr>
        </w:r>
        <w:r w:rsidR="0010195C">
          <w:rPr>
            <w:noProof/>
            <w:webHidden/>
          </w:rPr>
          <w:fldChar w:fldCharType="separate"/>
        </w:r>
        <w:r w:rsidR="00B316B9">
          <w:rPr>
            <w:noProof/>
            <w:webHidden/>
          </w:rPr>
          <w:t>24</w:t>
        </w:r>
        <w:r w:rsidR="0010195C">
          <w:rPr>
            <w:noProof/>
            <w:webHidden/>
          </w:rPr>
          <w:fldChar w:fldCharType="end"/>
        </w:r>
      </w:hyperlink>
    </w:p>
    <w:p w14:paraId="7D413198" w14:textId="52179991" w:rsidR="0010195C" w:rsidRDefault="00C628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6240846" w:history="1">
        <w:r w:rsidR="0010195C" w:rsidRPr="00AA32C0">
          <w:rPr>
            <w:rStyle w:val="Hyperlink"/>
            <w:noProof/>
          </w:rPr>
          <w:t>5.</w:t>
        </w:r>
        <w:r w:rsidR="0010195C">
          <w:rPr>
            <w:rFonts w:eastAsiaTheme="minorEastAsia" w:cstheme="minorBidi"/>
            <w:b w:val="0"/>
            <w:bCs w:val="0"/>
            <w:caps w:val="0"/>
            <w:noProof/>
            <w:sz w:val="22"/>
            <w:szCs w:val="22"/>
            <w:lang w:eastAsia="en-GB" w:bidi="ar-SA"/>
          </w:rPr>
          <w:tab/>
        </w:r>
        <w:r w:rsidR="0010195C" w:rsidRPr="00AA32C0">
          <w:rPr>
            <w:rStyle w:val="Hyperlink"/>
            <w:noProof/>
          </w:rPr>
          <w:t>FSANZ Act assessment requirements</w:t>
        </w:r>
        <w:r w:rsidR="0010195C">
          <w:rPr>
            <w:noProof/>
            <w:webHidden/>
          </w:rPr>
          <w:tab/>
        </w:r>
        <w:r w:rsidR="0010195C">
          <w:rPr>
            <w:noProof/>
            <w:webHidden/>
          </w:rPr>
          <w:fldChar w:fldCharType="begin"/>
        </w:r>
        <w:r w:rsidR="0010195C">
          <w:rPr>
            <w:noProof/>
            <w:webHidden/>
          </w:rPr>
          <w:instrText xml:space="preserve"> PAGEREF _Toc86240846 \h </w:instrText>
        </w:r>
        <w:r w:rsidR="0010195C">
          <w:rPr>
            <w:noProof/>
            <w:webHidden/>
          </w:rPr>
        </w:r>
        <w:r w:rsidR="0010195C">
          <w:rPr>
            <w:noProof/>
            <w:webHidden/>
          </w:rPr>
          <w:fldChar w:fldCharType="separate"/>
        </w:r>
        <w:r w:rsidR="00B316B9">
          <w:rPr>
            <w:noProof/>
            <w:webHidden/>
          </w:rPr>
          <w:t>25</w:t>
        </w:r>
        <w:r w:rsidR="0010195C">
          <w:rPr>
            <w:noProof/>
            <w:webHidden/>
          </w:rPr>
          <w:fldChar w:fldCharType="end"/>
        </w:r>
      </w:hyperlink>
    </w:p>
    <w:p w14:paraId="49189E76" w14:textId="21946E13"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47" w:history="1">
        <w:r w:rsidR="0010195C" w:rsidRPr="00AA32C0">
          <w:rPr>
            <w:rStyle w:val="Hyperlink"/>
            <w:noProof/>
          </w:rPr>
          <w:t>5.1</w:t>
        </w:r>
        <w:r w:rsidR="0010195C">
          <w:rPr>
            <w:rFonts w:eastAsiaTheme="minorEastAsia" w:cstheme="minorBidi"/>
            <w:smallCaps w:val="0"/>
            <w:noProof/>
            <w:sz w:val="22"/>
            <w:szCs w:val="22"/>
            <w:lang w:eastAsia="en-GB" w:bidi="ar-SA"/>
          </w:rPr>
          <w:tab/>
        </w:r>
        <w:r w:rsidR="0010195C" w:rsidRPr="00AA32C0">
          <w:rPr>
            <w:rStyle w:val="Hyperlink"/>
            <w:noProof/>
          </w:rPr>
          <w:t>Section 29</w:t>
        </w:r>
        <w:r w:rsidR="0010195C">
          <w:rPr>
            <w:noProof/>
            <w:webHidden/>
          </w:rPr>
          <w:tab/>
        </w:r>
        <w:r w:rsidR="0010195C">
          <w:rPr>
            <w:noProof/>
            <w:webHidden/>
          </w:rPr>
          <w:fldChar w:fldCharType="begin"/>
        </w:r>
        <w:r w:rsidR="0010195C">
          <w:rPr>
            <w:noProof/>
            <w:webHidden/>
          </w:rPr>
          <w:instrText xml:space="preserve"> PAGEREF _Toc86240847 \h </w:instrText>
        </w:r>
        <w:r w:rsidR="0010195C">
          <w:rPr>
            <w:noProof/>
            <w:webHidden/>
          </w:rPr>
        </w:r>
        <w:r w:rsidR="0010195C">
          <w:rPr>
            <w:noProof/>
            <w:webHidden/>
          </w:rPr>
          <w:fldChar w:fldCharType="separate"/>
        </w:r>
        <w:r w:rsidR="00B316B9">
          <w:rPr>
            <w:noProof/>
            <w:webHidden/>
          </w:rPr>
          <w:t>25</w:t>
        </w:r>
        <w:r w:rsidR="0010195C">
          <w:rPr>
            <w:noProof/>
            <w:webHidden/>
          </w:rPr>
          <w:fldChar w:fldCharType="end"/>
        </w:r>
      </w:hyperlink>
    </w:p>
    <w:p w14:paraId="5083F3A7" w14:textId="44AE04E0"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48" w:history="1">
        <w:r w:rsidR="0010195C" w:rsidRPr="00AA32C0">
          <w:rPr>
            <w:rStyle w:val="Hyperlink"/>
            <w:noProof/>
          </w:rPr>
          <w:t>5.1.1</w:t>
        </w:r>
        <w:r w:rsidR="0010195C">
          <w:rPr>
            <w:rFonts w:eastAsiaTheme="minorEastAsia" w:cstheme="minorBidi"/>
            <w:i w:val="0"/>
            <w:iCs w:val="0"/>
            <w:noProof/>
            <w:sz w:val="22"/>
            <w:szCs w:val="22"/>
            <w:lang w:eastAsia="en-GB" w:bidi="ar-SA"/>
          </w:rPr>
          <w:tab/>
        </w:r>
        <w:r w:rsidR="0010195C" w:rsidRPr="00AA32C0">
          <w:rPr>
            <w:rStyle w:val="Hyperlink"/>
            <w:noProof/>
          </w:rPr>
          <w:t>Consideration of costs and benefits</w:t>
        </w:r>
        <w:r w:rsidR="0010195C">
          <w:rPr>
            <w:noProof/>
            <w:webHidden/>
          </w:rPr>
          <w:tab/>
        </w:r>
        <w:r w:rsidR="0010195C">
          <w:rPr>
            <w:noProof/>
            <w:webHidden/>
          </w:rPr>
          <w:fldChar w:fldCharType="begin"/>
        </w:r>
        <w:r w:rsidR="0010195C">
          <w:rPr>
            <w:noProof/>
            <w:webHidden/>
          </w:rPr>
          <w:instrText xml:space="preserve"> PAGEREF _Toc86240848 \h </w:instrText>
        </w:r>
        <w:r w:rsidR="0010195C">
          <w:rPr>
            <w:noProof/>
            <w:webHidden/>
          </w:rPr>
        </w:r>
        <w:r w:rsidR="0010195C">
          <w:rPr>
            <w:noProof/>
            <w:webHidden/>
          </w:rPr>
          <w:fldChar w:fldCharType="separate"/>
        </w:r>
        <w:r w:rsidR="00B316B9">
          <w:rPr>
            <w:noProof/>
            <w:webHidden/>
          </w:rPr>
          <w:t>25</w:t>
        </w:r>
        <w:r w:rsidR="0010195C">
          <w:rPr>
            <w:noProof/>
            <w:webHidden/>
          </w:rPr>
          <w:fldChar w:fldCharType="end"/>
        </w:r>
      </w:hyperlink>
    </w:p>
    <w:p w14:paraId="71271EE3" w14:textId="3E8068A3"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49" w:history="1">
        <w:r w:rsidR="0010195C" w:rsidRPr="00AA32C0">
          <w:rPr>
            <w:rStyle w:val="Hyperlink"/>
            <w:noProof/>
          </w:rPr>
          <w:t>5.1.2</w:t>
        </w:r>
        <w:r w:rsidR="0010195C">
          <w:rPr>
            <w:rFonts w:eastAsiaTheme="minorEastAsia" w:cstheme="minorBidi"/>
            <w:i w:val="0"/>
            <w:iCs w:val="0"/>
            <w:noProof/>
            <w:sz w:val="22"/>
            <w:szCs w:val="22"/>
            <w:lang w:eastAsia="en-GB" w:bidi="ar-SA"/>
          </w:rPr>
          <w:tab/>
        </w:r>
        <w:r w:rsidR="0010195C" w:rsidRPr="00AA32C0">
          <w:rPr>
            <w:rStyle w:val="Hyperlink"/>
            <w:noProof/>
          </w:rPr>
          <w:t>Conclusions from cost benefit considerations</w:t>
        </w:r>
        <w:r w:rsidR="0010195C">
          <w:rPr>
            <w:noProof/>
            <w:webHidden/>
          </w:rPr>
          <w:tab/>
        </w:r>
        <w:r w:rsidR="0010195C">
          <w:rPr>
            <w:noProof/>
            <w:webHidden/>
          </w:rPr>
          <w:fldChar w:fldCharType="begin"/>
        </w:r>
        <w:r w:rsidR="0010195C">
          <w:rPr>
            <w:noProof/>
            <w:webHidden/>
          </w:rPr>
          <w:instrText xml:space="preserve"> PAGEREF _Toc86240849 \h </w:instrText>
        </w:r>
        <w:r w:rsidR="0010195C">
          <w:rPr>
            <w:noProof/>
            <w:webHidden/>
          </w:rPr>
        </w:r>
        <w:r w:rsidR="0010195C">
          <w:rPr>
            <w:noProof/>
            <w:webHidden/>
          </w:rPr>
          <w:fldChar w:fldCharType="separate"/>
        </w:r>
        <w:r w:rsidR="00B316B9">
          <w:rPr>
            <w:noProof/>
            <w:webHidden/>
          </w:rPr>
          <w:t>26</w:t>
        </w:r>
        <w:r w:rsidR="0010195C">
          <w:rPr>
            <w:noProof/>
            <w:webHidden/>
          </w:rPr>
          <w:fldChar w:fldCharType="end"/>
        </w:r>
      </w:hyperlink>
    </w:p>
    <w:p w14:paraId="04D8E6C6" w14:textId="792D4D33"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50" w:history="1">
        <w:r w:rsidR="0010195C" w:rsidRPr="00AA32C0">
          <w:rPr>
            <w:rStyle w:val="Hyperlink"/>
            <w:noProof/>
          </w:rPr>
          <w:t>5.1.3</w:t>
        </w:r>
        <w:r w:rsidR="0010195C">
          <w:rPr>
            <w:rFonts w:eastAsiaTheme="minorEastAsia" w:cstheme="minorBidi"/>
            <w:i w:val="0"/>
            <w:iCs w:val="0"/>
            <w:noProof/>
            <w:sz w:val="22"/>
            <w:szCs w:val="22"/>
            <w:lang w:eastAsia="en-GB" w:bidi="ar-SA"/>
          </w:rPr>
          <w:tab/>
        </w:r>
        <w:r w:rsidR="0010195C" w:rsidRPr="00AA32C0">
          <w:rPr>
            <w:rStyle w:val="Hyperlink"/>
            <w:noProof/>
          </w:rPr>
          <w:t>Other measures</w:t>
        </w:r>
        <w:r w:rsidR="0010195C">
          <w:rPr>
            <w:noProof/>
            <w:webHidden/>
          </w:rPr>
          <w:tab/>
        </w:r>
        <w:r w:rsidR="0010195C">
          <w:rPr>
            <w:noProof/>
            <w:webHidden/>
          </w:rPr>
          <w:fldChar w:fldCharType="begin"/>
        </w:r>
        <w:r w:rsidR="0010195C">
          <w:rPr>
            <w:noProof/>
            <w:webHidden/>
          </w:rPr>
          <w:instrText xml:space="preserve"> PAGEREF _Toc86240850 \h </w:instrText>
        </w:r>
        <w:r w:rsidR="0010195C">
          <w:rPr>
            <w:noProof/>
            <w:webHidden/>
          </w:rPr>
        </w:r>
        <w:r w:rsidR="0010195C">
          <w:rPr>
            <w:noProof/>
            <w:webHidden/>
          </w:rPr>
          <w:fldChar w:fldCharType="separate"/>
        </w:r>
        <w:r w:rsidR="00B316B9">
          <w:rPr>
            <w:noProof/>
            <w:webHidden/>
          </w:rPr>
          <w:t>26</w:t>
        </w:r>
        <w:r w:rsidR="0010195C">
          <w:rPr>
            <w:noProof/>
            <w:webHidden/>
          </w:rPr>
          <w:fldChar w:fldCharType="end"/>
        </w:r>
      </w:hyperlink>
    </w:p>
    <w:p w14:paraId="1019FA99" w14:textId="0CC990E8"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51" w:history="1">
        <w:r w:rsidR="0010195C" w:rsidRPr="00AA32C0">
          <w:rPr>
            <w:rStyle w:val="Hyperlink"/>
            <w:noProof/>
          </w:rPr>
          <w:t>5.1.4</w:t>
        </w:r>
        <w:r w:rsidR="0010195C">
          <w:rPr>
            <w:rFonts w:eastAsiaTheme="minorEastAsia" w:cstheme="minorBidi"/>
            <w:i w:val="0"/>
            <w:iCs w:val="0"/>
            <w:noProof/>
            <w:sz w:val="22"/>
            <w:szCs w:val="22"/>
            <w:lang w:eastAsia="en-GB" w:bidi="ar-SA"/>
          </w:rPr>
          <w:tab/>
        </w:r>
        <w:r w:rsidR="0010195C" w:rsidRPr="00AA32C0">
          <w:rPr>
            <w:rStyle w:val="Hyperlink"/>
            <w:noProof/>
          </w:rPr>
          <w:t>Any relevant New Zealand standards</w:t>
        </w:r>
        <w:r w:rsidR="0010195C">
          <w:rPr>
            <w:noProof/>
            <w:webHidden/>
          </w:rPr>
          <w:tab/>
        </w:r>
        <w:r w:rsidR="0010195C">
          <w:rPr>
            <w:noProof/>
            <w:webHidden/>
          </w:rPr>
          <w:fldChar w:fldCharType="begin"/>
        </w:r>
        <w:r w:rsidR="0010195C">
          <w:rPr>
            <w:noProof/>
            <w:webHidden/>
          </w:rPr>
          <w:instrText xml:space="preserve"> PAGEREF _Toc86240851 \h </w:instrText>
        </w:r>
        <w:r w:rsidR="0010195C">
          <w:rPr>
            <w:noProof/>
            <w:webHidden/>
          </w:rPr>
        </w:r>
        <w:r w:rsidR="0010195C">
          <w:rPr>
            <w:noProof/>
            <w:webHidden/>
          </w:rPr>
          <w:fldChar w:fldCharType="separate"/>
        </w:r>
        <w:r w:rsidR="00B316B9">
          <w:rPr>
            <w:noProof/>
            <w:webHidden/>
          </w:rPr>
          <w:t>26</w:t>
        </w:r>
        <w:r w:rsidR="0010195C">
          <w:rPr>
            <w:noProof/>
            <w:webHidden/>
          </w:rPr>
          <w:fldChar w:fldCharType="end"/>
        </w:r>
      </w:hyperlink>
    </w:p>
    <w:p w14:paraId="4FAF69B1" w14:textId="51030AE1" w:rsidR="0010195C" w:rsidRDefault="00C62830">
      <w:pPr>
        <w:pStyle w:val="TOC3"/>
        <w:tabs>
          <w:tab w:val="left" w:pos="1100"/>
          <w:tab w:val="right" w:leader="dot" w:pos="9060"/>
        </w:tabs>
        <w:rPr>
          <w:rFonts w:eastAsiaTheme="minorEastAsia" w:cstheme="minorBidi"/>
          <w:i w:val="0"/>
          <w:iCs w:val="0"/>
          <w:noProof/>
          <w:sz w:val="22"/>
          <w:szCs w:val="22"/>
          <w:lang w:eastAsia="en-GB" w:bidi="ar-SA"/>
        </w:rPr>
      </w:pPr>
      <w:hyperlink w:anchor="_Toc86240852" w:history="1">
        <w:r w:rsidR="0010195C" w:rsidRPr="00AA32C0">
          <w:rPr>
            <w:rStyle w:val="Hyperlink"/>
            <w:noProof/>
          </w:rPr>
          <w:t>5.1.5</w:t>
        </w:r>
        <w:r w:rsidR="0010195C">
          <w:rPr>
            <w:rFonts w:eastAsiaTheme="minorEastAsia" w:cstheme="minorBidi"/>
            <w:i w:val="0"/>
            <w:iCs w:val="0"/>
            <w:noProof/>
            <w:sz w:val="22"/>
            <w:szCs w:val="22"/>
            <w:lang w:eastAsia="en-GB" w:bidi="ar-SA"/>
          </w:rPr>
          <w:tab/>
        </w:r>
        <w:r w:rsidR="0010195C" w:rsidRPr="00AA32C0">
          <w:rPr>
            <w:rStyle w:val="Hyperlink"/>
            <w:noProof/>
          </w:rPr>
          <w:t>Any other relevant matters</w:t>
        </w:r>
        <w:r w:rsidR="0010195C">
          <w:rPr>
            <w:noProof/>
            <w:webHidden/>
          </w:rPr>
          <w:tab/>
        </w:r>
        <w:r w:rsidR="0010195C">
          <w:rPr>
            <w:noProof/>
            <w:webHidden/>
          </w:rPr>
          <w:fldChar w:fldCharType="begin"/>
        </w:r>
        <w:r w:rsidR="0010195C">
          <w:rPr>
            <w:noProof/>
            <w:webHidden/>
          </w:rPr>
          <w:instrText xml:space="preserve"> PAGEREF _Toc86240852 \h </w:instrText>
        </w:r>
        <w:r w:rsidR="0010195C">
          <w:rPr>
            <w:noProof/>
            <w:webHidden/>
          </w:rPr>
        </w:r>
        <w:r w:rsidR="0010195C">
          <w:rPr>
            <w:noProof/>
            <w:webHidden/>
          </w:rPr>
          <w:fldChar w:fldCharType="separate"/>
        </w:r>
        <w:r w:rsidR="00B316B9">
          <w:rPr>
            <w:noProof/>
            <w:webHidden/>
          </w:rPr>
          <w:t>26</w:t>
        </w:r>
        <w:r w:rsidR="0010195C">
          <w:rPr>
            <w:noProof/>
            <w:webHidden/>
          </w:rPr>
          <w:fldChar w:fldCharType="end"/>
        </w:r>
      </w:hyperlink>
    </w:p>
    <w:p w14:paraId="1776884A" w14:textId="36E50915"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53" w:history="1">
        <w:r w:rsidR="0010195C" w:rsidRPr="00AA32C0">
          <w:rPr>
            <w:rStyle w:val="Hyperlink"/>
            <w:noProof/>
          </w:rPr>
          <w:t>5.2</w:t>
        </w:r>
        <w:r w:rsidR="0010195C">
          <w:rPr>
            <w:rFonts w:eastAsiaTheme="minorEastAsia" w:cstheme="minorBidi"/>
            <w:smallCaps w:val="0"/>
            <w:noProof/>
            <w:sz w:val="22"/>
            <w:szCs w:val="22"/>
            <w:lang w:eastAsia="en-GB" w:bidi="ar-SA"/>
          </w:rPr>
          <w:tab/>
        </w:r>
        <w:r w:rsidR="0010195C" w:rsidRPr="00AA32C0">
          <w:rPr>
            <w:rStyle w:val="Hyperlink"/>
            <w:noProof/>
          </w:rPr>
          <w:t>Subsection 18(1)</w:t>
        </w:r>
        <w:r w:rsidR="0010195C">
          <w:rPr>
            <w:noProof/>
            <w:webHidden/>
          </w:rPr>
          <w:tab/>
        </w:r>
        <w:r w:rsidR="0010195C">
          <w:rPr>
            <w:noProof/>
            <w:webHidden/>
          </w:rPr>
          <w:fldChar w:fldCharType="begin"/>
        </w:r>
        <w:r w:rsidR="0010195C">
          <w:rPr>
            <w:noProof/>
            <w:webHidden/>
          </w:rPr>
          <w:instrText xml:space="preserve"> PAGEREF _Toc86240853 \h </w:instrText>
        </w:r>
        <w:r w:rsidR="0010195C">
          <w:rPr>
            <w:noProof/>
            <w:webHidden/>
          </w:rPr>
        </w:r>
        <w:r w:rsidR="0010195C">
          <w:rPr>
            <w:noProof/>
            <w:webHidden/>
          </w:rPr>
          <w:fldChar w:fldCharType="separate"/>
        </w:r>
        <w:r w:rsidR="00B316B9">
          <w:rPr>
            <w:noProof/>
            <w:webHidden/>
          </w:rPr>
          <w:t>26</w:t>
        </w:r>
        <w:r w:rsidR="0010195C">
          <w:rPr>
            <w:noProof/>
            <w:webHidden/>
          </w:rPr>
          <w:fldChar w:fldCharType="end"/>
        </w:r>
      </w:hyperlink>
    </w:p>
    <w:p w14:paraId="39574252" w14:textId="35FCDB64" w:rsidR="0010195C" w:rsidRDefault="00C62830">
      <w:pPr>
        <w:pStyle w:val="TOC2"/>
        <w:tabs>
          <w:tab w:val="left" w:pos="880"/>
          <w:tab w:val="right" w:leader="dot" w:pos="9060"/>
        </w:tabs>
        <w:rPr>
          <w:rFonts w:eastAsiaTheme="minorEastAsia" w:cstheme="minorBidi"/>
          <w:smallCaps w:val="0"/>
          <w:noProof/>
          <w:sz w:val="22"/>
          <w:szCs w:val="22"/>
          <w:lang w:eastAsia="en-GB" w:bidi="ar-SA"/>
        </w:rPr>
      </w:pPr>
      <w:hyperlink w:anchor="_Toc86240854" w:history="1">
        <w:r w:rsidR="0010195C" w:rsidRPr="00AA32C0">
          <w:rPr>
            <w:rStyle w:val="Hyperlink"/>
            <w:noProof/>
          </w:rPr>
          <w:t>5.3</w:t>
        </w:r>
        <w:r w:rsidR="0010195C">
          <w:rPr>
            <w:rFonts w:eastAsiaTheme="minorEastAsia" w:cstheme="minorBidi"/>
            <w:smallCaps w:val="0"/>
            <w:noProof/>
            <w:sz w:val="22"/>
            <w:szCs w:val="22"/>
            <w:lang w:eastAsia="en-GB" w:bidi="ar-SA"/>
          </w:rPr>
          <w:tab/>
        </w:r>
        <w:r w:rsidR="0010195C" w:rsidRPr="00AA32C0">
          <w:rPr>
            <w:rStyle w:val="Hyperlink"/>
            <w:noProof/>
          </w:rPr>
          <w:t>Subsection 18(2) considerations</w:t>
        </w:r>
        <w:r w:rsidR="0010195C">
          <w:rPr>
            <w:noProof/>
            <w:webHidden/>
          </w:rPr>
          <w:tab/>
        </w:r>
        <w:r w:rsidR="0010195C">
          <w:rPr>
            <w:noProof/>
            <w:webHidden/>
          </w:rPr>
          <w:fldChar w:fldCharType="begin"/>
        </w:r>
        <w:r w:rsidR="0010195C">
          <w:rPr>
            <w:noProof/>
            <w:webHidden/>
          </w:rPr>
          <w:instrText xml:space="preserve"> PAGEREF _Toc86240854 \h </w:instrText>
        </w:r>
        <w:r w:rsidR="0010195C">
          <w:rPr>
            <w:noProof/>
            <w:webHidden/>
          </w:rPr>
        </w:r>
        <w:r w:rsidR="0010195C">
          <w:rPr>
            <w:noProof/>
            <w:webHidden/>
          </w:rPr>
          <w:fldChar w:fldCharType="separate"/>
        </w:r>
        <w:r w:rsidR="00B316B9">
          <w:rPr>
            <w:noProof/>
            <w:webHidden/>
          </w:rPr>
          <w:t>27</w:t>
        </w:r>
        <w:r w:rsidR="0010195C">
          <w:rPr>
            <w:noProof/>
            <w:webHidden/>
          </w:rPr>
          <w:fldChar w:fldCharType="end"/>
        </w:r>
      </w:hyperlink>
    </w:p>
    <w:p w14:paraId="6398098C" w14:textId="0A5F08FD" w:rsidR="0010195C" w:rsidRDefault="00C62830">
      <w:pPr>
        <w:pStyle w:val="TOC1"/>
        <w:tabs>
          <w:tab w:val="left" w:pos="440"/>
          <w:tab w:val="right" w:leader="dot" w:pos="9060"/>
        </w:tabs>
        <w:rPr>
          <w:rFonts w:eastAsiaTheme="minorEastAsia" w:cstheme="minorBidi"/>
          <w:b w:val="0"/>
          <w:bCs w:val="0"/>
          <w:caps w:val="0"/>
          <w:noProof/>
          <w:sz w:val="22"/>
          <w:szCs w:val="22"/>
          <w:lang w:eastAsia="en-GB" w:bidi="ar-SA"/>
        </w:rPr>
      </w:pPr>
      <w:hyperlink w:anchor="_Toc86240855" w:history="1">
        <w:r w:rsidR="0010195C" w:rsidRPr="00AA32C0">
          <w:rPr>
            <w:rStyle w:val="Hyperlink"/>
            <w:noProof/>
          </w:rPr>
          <w:t>6.</w:t>
        </w:r>
        <w:r w:rsidR="0010195C">
          <w:rPr>
            <w:rFonts w:eastAsiaTheme="minorEastAsia" w:cstheme="minorBidi"/>
            <w:b w:val="0"/>
            <w:bCs w:val="0"/>
            <w:caps w:val="0"/>
            <w:noProof/>
            <w:sz w:val="22"/>
            <w:szCs w:val="22"/>
            <w:lang w:eastAsia="en-GB" w:bidi="ar-SA"/>
          </w:rPr>
          <w:tab/>
        </w:r>
        <w:r w:rsidR="0010195C" w:rsidRPr="00AA32C0">
          <w:rPr>
            <w:rStyle w:val="Hyperlink"/>
            <w:noProof/>
          </w:rPr>
          <w:t>References</w:t>
        </w:r>
        <w:r w:rsidR="0010195C">
          <w:rPr>
            <w:noProof/>
            <w:webHidden/>
          </w:rPr>
          <w:tab/>
        </w:r>
        <w:r w:rsidR="0010195C">
          <w:rPr>
            <w:noProof/>
            <w:webHidden/>
          </w:rPr>
          <w:fldChar w:fldCharType="begin"/>
        </w:r>
        <w:r w:rsidR="0010195C">
          <w:rPr>
            <w:noProof/>
            <w:webHidden/>
          </w:rPr>
          <w:instrText xml:space="preserve"> PAGEREF _Toc86240855 \h </w:instrText>
        </w:r>
        <w:r w:rsidR="0010195C">
          <w:rPr>
            <w:noProof/>
            <w:webHidden/>
          </w:rPr>
        </w:r>
        <w:r w:rsidR="0010195C">
          <w:rPr>
            <w:noProof/>
            <w:webHidden/>
          </w:rPr>
          <w:fldChar w:fldCharType="separate"/>
        </w:r>
        <w:r w:rsidR="00B316B9">
          <w:rPr>
            <w:noProof/>
            <w:webHidden/>
          </w:rPr>
          <w:t>28</w:t>
        </w:r>
        <w:r w:rsidR="0010195C">
          <w:rPr>
            <w:noProof/>
            <w:webHidden/>
          </w:rPr>
          <w:fldChar w:fldCharType="end"/>
        </w:r>
      </w:hyperlink>
    </w:p>
    <w:p w14:paraId="5AB31DD1" w14:textId="4654ACFF" w:rsidR="0010195C" w:rsidRDefault="00C62830">
      <w:pPr>
        <w:pStyle w:val="TOC1"/>
        <w:tabs>
          <w:tab w:val="right" w:leader="dot" w:pos="9060"/>
        </w:tabs>
        <w:rPr>
          <w:rFonts w:eastAsiaTheme="minorEastAsia" w:cstheme="minorBidi"/>
          <w:b w:val="0"/>
          <w:bCs w:val="0"/>
          <w:caps w:val="0"/>
          <w:noProof/>
          <w:sz w:val="22"/>
          <w:szCs w:val="22"/>
          <w:lang w:eastAsia="en-GB" w:bidi="ar-SA"/>
        </w:rPr>
      </w:pPr>
      <w:hyperlink w:anchor="_Toc86240856" w:history="1">
        <w:r w:rsidR="0010195C" w:rsidRPr="00AA32C0">
          <w:rPr>
            <w:rStyle w:val="Hyperlink"/>
            <w:noProof/>
          </w:rPr>
          <w:t>Attachment A – Approved draft variation to the Australia New Zealand Food Standards Code</w:t>
        </w:r>
        <w:r w:rsidR="0010195C">
          <w:rPr>
            <w:noProof/>
            <w:webHidden/>
          </w:rPr>
          <w:tab/>
        </w:r>
        <w:r w:rsidR="0010195C">
          <w:rPr>
            <w:noProof/>
            <w:webHidden/>
          </w:rPr>
          <w:fldChar w:fldCharType="begin"/>
        </w:r>
        <w:r w:rsidR="0010195C">
          <w:rPr>
            <w:noProof/>
            <w:webHidden/>
          </w:rPr>
          <w:instrText xml:space="preserve"> PAGEREF _Toc86240856 \h </w:instrText>
        </w:r>
        <w:r w:rsidR="0010195C">
          <w:rPr>
            <w:noProof/>
            <w:webHidden/>
          </w:rPr>
        </w:r>
        <w:r w:rsidR="0010195C">
          <w:rPr>
            <w:noProof/>
            <w:webHidden/>
          </w:rPr>
          <w:fldChar w:fldCharType="separate"/>
        </w:r>
        <w:r w:rsidR="00B316B9">
          <w:rPr>
            <w:noProof/>
            <w:webHidden/>
          </w:rPr>
          <w:t>30</w:t>
        </w:r>
        <w:r w:rsidR="0010195C">
          <w:rPr>
            <w:noProof/>
            <w:webHidden/>
          </w:rPr>
          <w:fldChar w:fldCharType="end"/>
        </w:r>
      </w:hyperlink>
    </w:p>
    <w:p w14:paraId="248BD297" w14:textId="225A60C9" w:rsidR="0010195C" w:rsidRDefault="00C62830">
      <w:pPr>
        <w:pStyle w:val="TOC1"/>
        <w:tabs>
          <w:tab w:val="right" w:leader="dot" w:pos="9060"/>
        </w:tabs>
        <w:rPr>
          <w:rFonts w:eastAsiaTheme="minorEastAsia" w:cstheme="minorBidi"/>
          <w:b w:val="0"/>
          <w:bCs w:val="0"/>
          <w:caps w:val="0"/>
          <w:noProof/>
          <w:sz w:val="22"/>
          <w:szCs w:val="22"/>
          <w:lang w:eastAsia="en-GB" w:bidi="ar-SA"/>
        </w:rPr>
      </w:pPr>
      <w:hyperlink w:anchor="_Toc86240857" w:history="1">
        <w:r w:rsidR="0010195C" w:rsidRPr="00AA32C0">
          <w:rPr>
            <w:rStyle w:val="Hyperlink"/>
            <w:noProof/>
          </w:rPr>
          <w:t>Attachment B – Explanatory Statement</w:t>
        </w:r>
        <w:r w:rsidR="0010195C">
          <w:rPr>
            <w:noProof/>
            <w:webHidden/>
          </w:rPr>
          <w:tab/>
        </w:r>
        <w:r w:rsidR="0010195C">
          <w:rPr>
            <w:noProof/>
            <w:webHidden/>
          </w:rPr>
          <w:fldChar w:fldCharType="begin"/>
        </w:r>
        <w:r w:rsidR="0010195C">
          <w:rPr>
            <w:noProof/>
            <w:webHidden/>
          </w:rPr>
          <w:instrText xml:space="preserve"> PAGEREF _Toc86240857 \h </w:instrText>
        </w:r>
        <w:r w:rsidR="0010195C">
          <w:rPr>
            <w:noProof/>
            <w:webHidden/>
          </w:rPr>
        </w:r>
        <w:r w:rsidR="0010195C">
          <w:rPr>
            <w:noProof/>
            <w:webHidden/>
          </w:rPr>
          <w:fldChar w:fldCharType="separate"/>
        </w:r>
        <w:r w:rsidR="00B316B9">
          <w:rPr>
            <w:noProof/>
            <w:webHidden/>
          </w:rPr>
          <w:t>32</w:t>
        </w:r>
        <w:r w:rsidR="0010195C">
          <w:rPr>
            <w:noProof/>
            <w:webHidden/>
          </w:rPr>
          <w:fldChar w:fldCharType="end"/>
        </w:r>
      </w:hyperlink>
    </w:p>
    <w:p w14:paraId="6B6DC5D3" w14:textId="092BC5E0" w:rsidR="0012388D" w:rsidRDefault="00B55714" w:rsidP="0016504A">
      <w:pPr>
        <w:rPr>
          <w:rFonts w:cs="Arial"/>
          <w:sz w:val="20"/>
          <w:szCs w:val="20"/>
        </w:rPr>
      </w:pPr>
      <w:r w:rsidRPr="00346622">
        <w:rPr>
          <w:rFonts w:cs="Arial"/>
          <w:sz w:val="20"/>
          <w:szCs w:val="20"/>
        </w:rPr>
        <w:fldChar w:fldCharType="end"/>
      </w:r>
    </w:p>
    <w:p w14:paraId="1DDE8E2F" w14:textId="60D47EE0" w:rsidR="008661EA" w:rsidRDefault="008661EA" w:rsidP="0016504A"/>
    <w:p w14:paraId="53143110" w14:textId="4A025AE9" w:rsidR="008661EA" w:rsidRDefault="008661EA" w:rsidP="0016504A"/>
    <w:p w14:paraId="7735C4C9" w14:textId="77777777" w:rsidR="00A671E6" w:rsidRPr="000B427A" w:rsidRDefault="00A671E6" w:rsidP="003648E6">
      <w:pPr>
        <w:spacing w:before="120" w:after="120"/>
        <w:rPr>
          <w:b/>
          <w:bCs/>
        </w:rPr>
      </w:pPr>
      <w:r w:rsidRPr="000B427A">
        <w:rPr>
          <w:b/>
          <w:bCs/>
        </w:rPr>
        <w:lastRenderedPageBreak/>
        <w:t>S</w:t>
      </w:r>
      <w:r w:rsidR="007C22CB" w:rsidRPr="000B427A">
        <w:rPr>
          <w:b/>
          <w:bCs/>
        </w:rPr>
        <w:t>upporting</w:t>
      </w:r>
      <w:r w:rsidR="00224E3B" w:rsidRPr="000B427A">
        <w:rPr>
          <w:b/>
          <w:bCs/>
        </w:rPr>
        <w:t xml:space="preserve"> docu</w:t>
      </w:r>
      <w:r w:rsidR="00224E3B" w:rsidRPr="007D143A">
        <w:rPr>
          <w:b/>
          <w:bCs/>
        </w:rPr>
        <w:t>ments</w:t>
      </w:r>
      <w:r w:rsidRPr="007D143A">
        <w:rPr>
          <w:b/>
          <w:bCs/>
        </w:rPr>
        <w:t xml:space="preserve"> </w:t>
      </w:r>
    </w:p>
    <w:p w14:paraId="686F7600" w14:textId="24ABBAC4" w:rsidR="007A53BF" w:rsidRPr="00D5582A" w:rsidRDefault="007A53BF" w:rsidP="003648E6">
      <w:pPr>
        <w:spacing w:before="120" w:after="120"/>
        <w:rPr>
          <w:szCs w:val="22"/>
        </w:rPr>
      </w:pPr>
      <w:r w:rsidRPr="0089264A">
        <w:rPr>
          <w:szCs w:val="22"/>
        </w:rPr>
        <w:t xml:space="preserve">The </w:t>
      </w:r>
      <w:hyperlink r:id="rId20" w:history="1">
        <w:r w:rsidRPr="00326CE0">
          <w:rPr>
            <w:rStyle w:val="Hyperlink"/>
            <w:szCs w:val="22"/>
          </w:rPr>
          <w:t>following documents</w:t>
        </w:r>
      </w:hyperlink>
      <w:r w:rsidRPr="0089264A">
        <w:rPr>
          <w:szCs w:val="22"/>
        </w:rPr>
        <w:t xml:space="preserve"> </w:t>
      </w:r>
      <w:r>
        <w:rPr>
          <w:szCs w:val="22"/>
        </w:rPr>
        <w:t xml:space="preserve">which informed the assessment of this </w:t>
      </w:r>
      <w:r w:rsidR="006E61C2">
        <w:rPr>
          <w:szCs w:val="22"/>
        </w:rPr>
        <w:t>a</w:t>
      </w:r>
      <w:r w:rsidR="006E61C2" w:rsidRPr="00326CE0">
        <w:rPr>
          <w:szCs w:val="22"/>
        </w:rPr>
        <w:t xml:space="preserve">pplication </w:t>
      </w:r>
      <w:r>
        <w:rPr>
          <w:szCs w:val="22"/>
        </w:rPr>
        <w:t>are</w:t>
      </w:r>
      <w:r w:rsidRPr="0089264A">
        <w:rPr>
          <w:szCs w:val="22"/>
        </w:rPr>
        <w:t xml:space="preserve"> available on the FSANZ </w:t>
      </w:r>
      <w:r w:rsidRPr="00D5582A">
        <w:rPr>
          <w:szCs w:val="22"/>
        </w:rPr>
        <w:t>website</w:t>
      </w:r>
      <w:r w:rsidR="00FF3E26" w:rsidRPr="00D5582A">
        <w:rPr>
          <w:szCs w:val="22"/>
        </w:rPr>
        <w:t>:</w:t>
      </w:r>
    </w:p>
    <w:p w14:paraId="306C62B1" w14:textId="775492B5" w:rsidR="007A53BF" w:rsidRPr="007D143A" w:rsidRDefault="007A53BF" w:rsidP="003648E6">
      <w:pPr>
        <w:spacing w:before="120" w:after="120"/>
        <w:ind w:left="1134" w:hanging="1134"/>
      </w:pPr>
      <w:r w:rsidRPr="007D143A">
        <w:t>SD1</w:t>
      </w:r>
      <w:r w:rsidRPr="007D143A">
        <w:tab/>
      </w:r>
      <w:r w:rsidR="00326CE0" w:rsidRPr="007D143A">
        <w:t>Risk and technical assessment report</w:t>
      </w:r>
      <w:r w:rsidR="00B13F05">
        <w:t xml:space="preserve"> (at Approval)</w:t>
      </w:r>
    </w:p>
    <w:p w14:paraId="4912FDD0" w14:textId="606E9979" w:rsidR="003C4969" w:rsidRPr="00CA5734" w:rsidRDefault="00326CE0" w:rsidP="00D53782">
      <w:pPr>
        <w:spacing w:before="120" w:after="120"/>
        <w:ind w:left="1134" w:hanging="1134"/>
      </w:pPr>
      <w:r w:rsidRPr="007D143A">
        <w:t>SD2</w:t>
      </w:r>
      <w:r w:rsidRPr="007D143A">
        <w:tab/>
        <w:t>Assessment of galacto-oligosaccharides against three beneficial physiological effects</w:t>
      </w:r>
      <w:r w:rsidR="005F2D67">
        <w:t xml:space="preserve"> (at Approval)</w:t>
      </w:r>
      <w:r w:rsidR="00D15A08" w:rsidRPr="00CA5734">
        <w:br w:type="page"/>
      </w:r>
    </w:p>
    <w:p w14:paraId="789FE269" w14:textId="77777777" w:rsidR="007A53BF" w:rsidRPr="001B50A0" w:rsidRDefault="007A53BF" w:rsidP="001B50A0">
      <w:pPr>
        <w:pStyle w:val="Heading1"/>
      </w:pPr>
      <w:bookmarkStart w:id="1" w:name="_Toc286391001"/>
      <w:bookmarkStart w:id="2" w:name="_Toc300933414"/>
      <w:bookmarkStart w:id="3" w:name="_Toc370223463"/>
      <w:bookmarkStart w:id="4" w:name="_Toc86240815"/>
      <w:bookmarkStart w:id="5" w:name="_Toc11735627"/>
      <w:bookmarkStart w:id="6" w:name="_Toc29883110"/>
      <w:bookmarkStart w:id="7" w:name="_Toc41906797"/>
      <w:bookmarkStart w:id="8" w:name="_Toc41907544"/>
      <w:bookmarkStart w:id="9" w:name="_Toc120358575"/>
      <w:r w:rsidRPr="001B50A0">
        <w:lastRenderedPageBreak/>
        <w:t>Executive summary</w:t>
      </w:r>
      <w:bookmarkEnd w:id="1"/>
      <w:bookmarkEnd w:id="2"/>
      <w:bookmarkEnd w:id="3"/>
      <w:bookmarkEnd w:id="4"/>
    </w:p>
    <w:p w14:paraId="007058EA" w14:textId="65AC0A2E" w:rsidR="006E22F9" w:rsidRDefault="00A90C26" w:rsidP="003648E6">
      <w:pPr>
        <w:spacing w:before="120" w:after="120"/>
        <w:rPr>
          <w:rFonts w:cs="Arial"/>
        </w:rPr>
      </w:pPr>
      <w:r w:rsidRPr="009015F7">
        <w:t xml:space="preserve">Grains and Legumes Nutrition Council </w:t>
      </w:r>
      <w:r>
        <w:rPr>
          <w:rFonts w:cs="Arial"/>
        </w:rPr>
        <w:t xml:space="preserve">lodged </w:t>
      </w:r>
      <w:r w:rsidR="006E22F9" w:rsidRPr="00C4701E">
        <w:rPr>
          <w:rFonts w:cs="Arial"/>
        </w:rPr>
        <w:t>an application to amend section S11—4 of the Australia New Zealand Food Standards Code</w:t>
      </w:r>
      <w:r w:rsidR="006E22F9" w:rsidRPr="00C4701E">
        <w:rPr>
          <w:rFonts w:cs="Arial"/>
          <w:i/>
        </w:rPr>
        <w:t xml:space="preserve"> </w:t>
      </w:r>
      <w:r w:rsidR="006E22F9" w:rsidRPr="00C4701E">
        <w:rPr>
          <w:rFonts w:cs="Arial"/>
        </w:rPr>
        <w:t xml:space="preserve">(the Code) to permit </w:t>
      </w:r>
      <w:r w:rsidR="006E22F9" w:rsidRPr="00C4701E">
        <w:rPr>
          <w:rFonts w:cs="Arial"/>
          <w:i/>
        </w:rPr>
        <w:t>AOAC Method 2017.16 - Rapid Integrated Total Dietary Fibre Method</w:t>
      </w:r>
      <w:r w:rsidR="006E22F9" w:rsidRPr="00C4701E">
        <w:rPr>
          <w:rFonts w:cs="Arial"/>
        </w:rPr>
        <w:t xml:space="preserve"> (AOAC 2017.16) as a new method of analysis for measuring total dietary fibre</w:t>
      </w:r>
      <w:r w:rsidR="006E22F9" w:rsidRPr="00C4701E">
        <w:rPr>
          <w:rStyle w:val="FootnoteReference"/>
          <w:rFonts w:cs="Arial"/>
        </w:rPr>
        <w:footnoteReference w:id="3"/>
      </w:r>
      <w:r w:rsidR="006E22F9" w:rsidRPr="00C4701E">
        <w:rPr>
          <w:rFonts w:cs="Arial"/>
        </w:rPr>
        <w:t xml:space="preserve"> content in food and food ingredients. </w:t>
      </w:r>
    </w:p>
    <w:p w14:paraId="710FB690" w14:textId="71F1010A" w:rsidR="006E22F9" w:rsidRPr="00C4701E" w:rsidRDefault="00A90C26" w:rsidP="003648E6">
      <w:pPr>
        <w:spacing w:before="120" w:after="120"/>
        <w:rPr>
          <w:rFonts w:cs="Arial"/>
        </w:rPr>
      </w:pPr>
      <w:r>
        <w:rPr>
          <w:rFonts w:cs="Arial"/>
        </w:rPr>
        <w:t>S</w:t>
      </w:r>
      <w:r>
        <w:rPr>
          <w:szCs w:val="22"/>
        </w:rPr>
        <w:t>ection S11—</w:t>
      </w:r>
      <w:r w:rsidRPr="00624DD2">
        <w:rPr>
          <w:szCs w:val="22"/>
        </w:rPr>
        <w:t xml:space="preserve">4 of the Code prescribes </w:t>
      </w:r>
      <w:r>
        <w:rPr>
          <w:szCs w:val="22"/>
        </w:rPr>
        <w:t>three</w:t>
      </w:r>
      <w:r w:rsidRPr="00624DD2">
        <w:rPr>
          <w:szCs w:val="22"/>
        </w:rPr>
        <w:t xml:space="preserve"> methods for analysing </w:t>
      </w:r>
      <w:r>
        <w:rPr>
          <w:szCs w:val="22"/>
        </w:rPr>
        <w:t>total</w:t>
      </w:r>
      <w:r w:rsidRPr="00624DD2">
        <w:rPr>
          <w:szCs w:val="22"/>
        </w:rPr>
        <w:t xml:space="preserve"> dietary fibre</w:t>
      </w:r>
      <w:r>
        <w:t xml:space="preserve"> </w:t>
      </w:r>
      <w:r w:rsidRPr="00624DD2">
        <w:rPr>
          <w:szCs w:val="22"/>
        </w:rPr>
        <w:t xml:space="preserve">and </w:t>
      </w:r>
      <w:r>
        <w:rPr>
          <w:szCs w:val="22"/>
        </w:rPr>
        <w:t xml:space="preserve">four methods for analysing </w:t>
      </w:r>
      <w:r w:rsidRPr="00624DD2">
        <w:rPr>
          <w:szCs w:val="22"/>
        </w:rPr>
        <w:t>ce</w:t>
      </w:r>
      <w:r>
        <w:rPr>
          <w:szCs w:val="22"/>
        </w:rPr>
        <w:t xml:space="preserve">rtain specifically named fibres. </w:t>
      </w:r>
      <w:r w:rsidRPr="00C4701E">
        <w:rPr>
          <w:rFonts w:cs="Arial"/>
        </w:rPr>
        <w:t xml:space="preserve">Food Standards Australia New Zealand </w:t>
      </w:r>
      <w:r>
        <w:rPr>
          <w:rFonts w:cs="Arial"/>
        </w:rPr>
        <w:t>(</w:t>
      </w:r>
      <w:r w:rsidR="006E22F9" w:rsidRPr="00C4701E">
        <w:rPr>
          <w:rFonts w:cs="Arial"/>
        </w:rPr>
        <w:t>FSANZ</w:t>
      </w:r>
      <w:r>
        <w:rPr>
          <w:rFonts w:cs="Arial"/>
        </w:rPr>
        <w:t>)</w:t>
      </w:r>
      <w:r w:rsidR="006E22F9" w:rsidRPr="00C4701E">
        <w:rPr>
          <w:rFonts w:cs="Arial"/>
        </w:rPr>
        <w:t xml:space="preserve"> assessed AOAC 2017.16 and determined it to be the most comprehensive method available for measuring </w:t>
      </w:r>
      <w:r w:rsidR="00D551F8">
        <w:rPr>
          <w:rFonts w:cs="Arial"/>
        </w:rPr>
        <w:t xml:space="preserve">total dietary fibre (i.e. </w:t>
      </w:r>
      <w:r w:rsidR="006E22F9" w:rsidRPr="00C4701E">
        <w:rPr>
          <w:rFonts w:cs="Arial"/>
        </w:rPr>
        <w:t>both high and low molecular weight dietary fibres</w:t>
      </w:r>
      <w:r w:rsidR="00D551F8">
        <w:rPr>
          <w:rFonts w:cs="Arial"/>
        </w:rPr>
        <w:t>)</w:t>
      </w:r>
      <w:r w:rsidR="00B13F05">
        <w:rPr>
          <w:rFonts w:cs="Arial"/>
        </w:rPr>
        <w:t>, improving</w:t>
      </w:r>
      <w:r w:rsidR="003414D1">
        <w:rPr>
          <w:rFonts w:cs="Arial"/>
        </w:rPr>
        <w:t xml:space="preserve"> on older methods currently permitted in the Code</w:t>
      </w:r>
      <w:r w:rsidR="006E22F9" w:rsidRPr="00C4701E">
        <w:rPr>
          <w:rFonts w:cs="Arial"/>
          <w:lang w:eastAsia="en-AU"/>
        </w:rPr>
        <w:t>.</w:t>
      </w:r>
      <w:r w:rsidR="003414D1">
        <w:rPr>
          <w:rFonts w:cs="Arial"/>
          <w:lang w:eastAsia="en-AU"/>
        </w:rPr>
        <w:t xml:space="preserve"> </w:t>
      </w:r>
      <w:r w:rsidR="006E22F9" w:rsidRPr="00C4701E">
        <w:rPr>
          <w:rFonts w:cs="Arial"/>
          <w:lang w:eastAsia="en-AU"/>
        </w:rPr>
        <w:t xml:space="preserve">As part of the low molecular weight fraction, </w:t>
      </w:r>
      <w:r w:rsidR="003414D1">
        <w:rPr>
          <w:rFonts w:cs="Arial"/>
          <w:lang w:eastAsia="en-AU"/>
        </w:rPr>
        <w:t>the</w:t>
      </w:r>
      <w:r w:rsidR="006E22F9" w:rsidRPr="00C4701E">
        <w:rPr>
          <w:rFonts w:cs="Arial"/>
          <w:lang w:eastAsia="en-AU"/>
        </w:rPr>
        <w:t xml:space="preserve"> method measures </w:t>
      </w:r>
      <w:r w:rsidR="006E22F9" w:rsidRPr="00C4701E">
        <w:rPr>
          <w:rFonts w:cs="Arial"/>
        </w:rPr>
        <w:t xml:space="preserve">non-digestible oligosaccharides, </w:t>
      </w:r>
      <w:r w:rsidR="00D551F8">
        <w:rPr>
          <w:rFonts w:cs="Arial"/>
        </w:rPr>
        <w:t xml:space="preserve">including </w:t>
      </w:r>
      <w:r w:rsidR="006E22F9" w:rsidRPr="00C4701E">
        <w:rPr>
          <w:rFonts w:cs="Arial"/>
        </w:rPr>
        <w:t xml:space="preserve">galacto-oligosaccharides (GOS) and isomalto-oligosaccharides (IMO). </w:t>
      </w:r>
      <w:r w:rsidR="003414D1">
        <w:rPr>
          <w:rFonts w:cs="Arial"/>
        </w:rPr>
        <w:t>T</w:t>
      </w:r>
      <w:r w:rsidR="006E22F9" w:rsidRPr="00C4701E">
        <w:rPr>
          <w:rFonts w:cs="Arial"/>
        </w:rPr>
        <w:t xml:space="preserve">he status of these oligosaccharides had not been considered </w:t>
      </w:r>
      <w:r w:rsidR="003414D1">
        <w:rPr>
          <w:rFonts w:cs="Arial"/>
        </w:rPr>
        <w:t>by FSANZ against the</w:t>
      </w:r>
      <w:r w:rsidR="00C314EC">
        <w:rPr>
          <w:rFonts w:cs="Arial"/>
        </w:rPr>
        <w:t xml:space="preserve"> Code’s</w:t>
      </w:r>
      <w:r w:rsidR="003414D1">
        <w:rPr>
          <w:rFonts w:cs="Arial"/>
        </w:rPr>
        <w:t xml:space="preserve"> </w:t>
      </w:r>
      <w:r w:rsidR="003414D1" w:rsidRPr="000F267A">
        <w:rPr>
          <w:rFonts w:cs="Arial"/>
          <w:i/>
        </w:rPr>
        <w:t>dietary fibre</w:t>
      </w:r>
      <w:r w:rsidR="003414D1">
        <w:rPr>
          <w:rFonts w:cs="Arial"/>
        </w:rPr>
        <w:t xml:space="preserve"> definition so were considered </w:t>
      </w:r>
      <w:r w:rsidR="009D0653">
        <w:rPr>
          <w:rFonts w:cs="Arial"/>
        </w:rPr>
        <w:t>for the purposes of this application</w:t>
      </w:r>
      <w:r w:rsidR="003414D1">
        <w:rPr>
          <w:rFonts w:cs="Arial"/>
        </w:rPr>
        <w:t>. Key findings include</w:t>
      </w:r>
      <w:r w:rsidR="00B13F05">
        <w:rPr>
          <w:rFonts w:cs="Arial"/>
        </w:rPr>
        <w:t>d</w:t>
      </w:r>
      <w:r w:rsidR="003414D1">
        <w:rPr>
          <w:rFonts w:cs="Arial"/>
        </w:rPr>
        <w:t>:</w:t>
      </w:r>
    </w:p>
    <w:p w14:paraId="0CA0C004" w14:textId="2C54A3B0" w:rsidR="00E26E27" w:rsidRPr="00E26E27" w:rsidRDefault="0082559D" w:rsidP="00D40130">
      <w:pPr>
        <w:pStyle w:val="ListParagraph"/>
        <w:widowControl/>
        <w:numPr>
          <w:ilvl w:val="0"/>
          <w:numId w:val="14"/>
        </w:numPr>
        <w:spacing w:before="120" w:after="120"/>
        <w:contextualSpacing w:val="0"/>
        <w:rPr>
          <w:rFonts w:cs="Arial"/>
        </w:rPr>
      </w:pPr>
      <w:r>
        <w:rPr>
          <w:rFonts w:cs="Arial"/>
        </w:rPr>
        <w:t>A</w:t>
      </w:r>
      <w:r w:rsidRPr="00C4701E">
        <w:rPr>
          <w:rFonts w:cs="Arial"/>
        </w:rPr>
        <w:t xml:space="preserve">n </w:t>
      </w:r>
      <w:r w:rsidR="006E22F9" w:rsidRPr="00C4701E">
        <w:rPr>
          <w:rFonts w:cs="Arial"/>
        </w:rPr>
        <w:t xml:space="preserve">existing permitted method (AOAC 2001.03) for measuring total dietary fibre </w:t>
      </w:r>
      <w:r w:rsidR="00106448">
        <w:rPr>
          <w:rFonts w:cs="Arial"/>
        </w:rPr>
        <w:t>including</w:t>
      </w:r>
      <w:r w:rsidR="006E22F9" w:rsidRPr="00C4701E">
        <w:rPr>
          <w:rFonts w:cs="Arial"/>
        </w:rPr>
        <w:t xml:space="preserve"> resistant maltodextrin also analyses GOS and IMO as part of the low molecular weight dietary fibre fraction. </w:t>
      </w:r>
      <w:r w:rsidR="009D0653">
        <w:t xml:space="preserve">However, in permitting AOAC 2001.03, FSANZ intended that this method be used </w:t>
      </w:r>
      <w:r w:rsidR="009D0653">
        <w:rPr>
          <w:rFonts w:cs="Arial"/>
        </w:rPr>
        <w:t>for the analysis of samples specifically containing resistant maltodextrin.</w:t>
      </w:r>
    </w:p>
    <w:p w14:paraId="3E20747C" w14:textId="2AD66526" w:rsidR="006E22F9" w:rsidRPr="00E26E27" w:rsidRDefault="006E22F9" w:rsidP="00D40130">
      <w:pPr>
        <w:pStyle w:val="ListParagraph"/>
        <w:widowControl/>
        <w:numPr>
          <w:ilvl w:val="0"/>
          <w:numId w:val="14"/>
        </w:numPr>
        <w:spacing w:before="120" w:after="120"/>
        <w:contextualSpacing w:val="0"/>
        <w:rPr>
          <w:rFonts w:cs="Arial"/>
        </w:rPr>
      </w:pPr>
      <w:r w:rsidRPr="00C4701E">
        <w:rPr>
          <w:rFonts w:cs="Arial"/>
        </w:rPr>
        <w:t xml:space="preserve">GOS </w:t>
      </w:r>
      <w:r w:rsidR="003414D1">
        <w:rPr>
          <w:rFonts w:cs="Arial"/>
        </w:rPr>
        <w:t xml:space="preserve">did not meet all criteria required under </w:t>
      </w:r>
      <w:r w:rsidRPr="00C4701E">
        <w:rPr>
          <w:rFonts w:cs="Arial"/>
        </w:rPr>
        <w:t>the Code’s definition of dietary fibre</w:t>
      </w:r>
      <w:r w:rsidR="003414D1">
        <w:rPr>
          <w:rFonts w:cs="Arial"/>
        </w:rPr>
        <w:t xml:space="preserve">. Specifically, the body of evidence did not support the promotion of </w:t>
      </w:r>
      <w:r w:rsidR="004066FF">
        <w:rPr>
          <w:rFonts w:cs="Arial"/>
        </w:rPr>
        <w:t xml:space="preserve">at least one of three </w:t>
      </w:r>
      <w:r w:rsidR="003414D1">
        <w:rPr>
          <w:rFonts w:cs="Arial"/>
        </w:rPr>
        <w:t>listed beneficial physiological effect</w:t>
      </w:r>
      <w:r w:rsidR="004066FF">
        <w:rPr>
          <w:rFonts w:cs="Arial"/>
        </w:rPr>
        <w:t>s</w:t>
      </w:r>
      <w:r w:rsidR="003414D1">
        <w:rPr>
          <w:rFonts w:cs="Arial"/>
        </w:rPr>
        <w:t>.</w:t>
      </w:r>
      <w:r w:rsidR="00E26E27">
        <w:t xml:space="preserve"> </w:t>
      </w:r>
    </w:p>
    <w:p w14:paraId="127B56BE" w14:textId="713349AA" w:rsidR="009D0653" w:rsidRDefault="006E22F9" w:rsidP="00D40130">
      <w:pPr>
        <w:pStyle w:val="ListParagraph"/>
        <w:widowControl/>
        <w:numPr>
          <w:ilvl w:val="0"/>
          <w:numId w:val="14"/>
        </w:numPr>
        <w:spacing w:before="120" w:after="120"/>
        <w:ind w:left="714" w:hanging="357"/>
        <w:contextualSpacing w:val="0"/>
        <w:rPr>
          <w:rFonts w:cs="Arial"/>
        </w:rPr>
      </w:pPr>
      <w:r w:rsidRPr="00C4701E">
        <w:rPr>
          <w:rFonts w:cs="Arial"/>
        </w:rPr>
        <w:t>A considerable overestimation of total dietary fibre</w:t>
      </w:r>
      <w:r w:rsidR="005726F8">
        <w:rPr>
          <w:rFonts w:cs="Arial"/>
        </w:rPr>
        <w:t xml:space="preserve"> (as defined in the Code)</w:t>
      </w:r>
      <w:r w:rsidRPr="00C4701E">
        <w:rPr>
          <w:rFonts w:cs="Arial"/>
        </w:rPr>
        <w:t xml:space="preserve"> by methods of analysis could alter food composition data, dietary fibre values on nutrition information panels (NIP), and the determination of fibre points (F points) for the purpose of determining the nutrient profiling scoring criterion (NP</w:t>
      </w:r>
      <w:r w:rsidR="00AD0CD3">
        <w:rPr>
          <w:rFonts w:cs="Arial"/>
        </w:rPr>
        <w:t>S</w:t>
      </w:r>
      <w:r w:rsidRPr="00C4701E">
        <w:rPr>
          <w:rFonts w:cs="Arial"/>
        </w:rPr>
        <w:t>C). FSANZ quantif</w:t>
      </w:r>
      <w:r w:rsidR="00FA1A04">
        <w:rPr>
          <w:rFonts w:cs="Arial"/>
        </w:rPr>
        <w:t>ied</w:t>
      </w:r>
      <w:r w:rsidRPr="00C4701E">
        <w:rPr>
          <w:rFonts w:cs="Arial"/>
        </w:rPr>
        <w:t xml:space="preserve"> any potential overestimation of total dietary fibre by determining the extent of GOS in the Australian and New Zealand food supply. </w:t>
      </w:r>
    </w:p>
    <w:p w14:paraId="68A65B9B" w14:textId="395FC5B4" w:rsidR="00E26E27" w:rsidRPr="00E26E27" w:rsidRDefault="009D0653" w:rsidP="00D40130">
      <w:pPr>
        <w:pStyle w:val="ListParagraph"/>
        <w:widowControl/>
        <w:numPr>
          <w:ilvl w:val="0"/>
          <w:numId w:val="14"/>
        </w:numPr>
        <w:spacing w:before="120" w:after="120"/>
        <w:contextualSpacing w:val="0"/>
        <w:rPr>
          <w:rFonts w:cs="Arial"/>
        </w:rPr>
      </w:pPr>
      <w:r>
        <w:t xml:space="preserve">From the seven foods </w:t>
      </w:r>
      <w:r w:rsidR="00BE0A66">
        <w:t xml:space="preserve">with available naturally </w:t>
      </w:r>
      <w:r w:rsidR="00B831CD">
        <w:t>occurring GOS data</w:t>
      </w:r>
      <w:r>
        <w:t xml:space="preserve"> that were also measured using AOAC 2017.16, it appears that </w:t>
      </w:r>
      <w:r w:rsidR="00BE0A66">
        <w:rPr>
          <w:rFonts w:cs="Arial"/>
          <w:szCs w:val="22"/>
        </w:rPr>
        <w:t xml:space="preserve">naturally </w:t>
      </w:r>
      <w:r>
        <w:rPr>
          <w:rFonts w:cs="Arial"/>
          <w:szCs w:val="22"/>
        </w:rPr>
        <w:t xml:space="preserve">occurring </w:t>
      </w:r>
      <w:r>
        <w:rPr>
          <w:lang w:bidi="ar-SA"/>
        </w:rPr>
        <w:t>GOS contribute</w:t>
      </w:r>
      <w:r w:rsidR="00971BED">
        <w:rPr>
          <w:lang w:bidi="ar-SA"/>
        </w:rPr>
        <w:t>s</w:t>
      </w:r>
      <w:r>
        <w:rPr>
          <w:lang w:bidi="ar-SA"/>
        </w:rPr>
        <w:t xml:space="preserve"> about 3-</w:t>
      </w:r>
      <w:r w:rsidRPr="00467B54">
        <w:rPr>
          <w:lang w:bidi="ar-SA"/>
        </w:rPr>
        <w:t xml:space="preserve">6% of </w:t>
      </w:r>
      <w:r>
        <w:rPr>
          <w:lang w:bidi="ar-SA"/>
        </w:rPr>
        <w:t>total</w:t>
      </w:r>
      <w:r w:rsidRPr="00467B54">
        <w:rPr>
          <w:lang w:bidi="ar-SA"/>
        </w:rPr>
        <w:t xml:space="preserve"> dietary fibre </w:t>
      </w:r>
      <w:r>
        <w:rPr>
          <w:lang w:bidi="ar-SA"/>
        </w:rPr>
        <w:t>in GOS-containing foods</w:t>
      </w:r>
      <w:r w:rsidR="00BE0A66">
        <w:rPr>
          <w:lang w:bidi="ar-SA"/>
        </w:rPr>
        <w:t>.</w:t>
      </w:r>
      <w:r w:rsidRPr="00C4701E" w:rsidDel="009D0653">
        <w:rPr>
          <w:rFonts w:cs="Arial"/>
        </w:rPr>
        <w:t xml:space="preserve"> </w:t>
      </w:r>
      <w:r w:rsidR="00E26E27" w:rsidRPr="00E26E27">
        <w:rPr>
          <w:rFonts w:cs="Arial"/>
        </w:rPr>
        <w:t xml:space="preserve">IMO </w:t>
      </w:r>
      <w:r w:rsidR="00E26E27">
        <w:rPr>
          <w:rFonts w:cs="Arial"/>
        </w:rPr>
        <w:t>are</w:t>
      </w:r>
      <w:r w:rsidR="00E26E27" w:rsidRPr="00E26E27">
        <w:rPr>
          <w:rFonts w:cs="Arial"/>
        </w:rPr>
        <w:t xml:space="preserve"> less prevalent in the food supply than GOS</w:t>
      </w:r>
      <w:r w:rsidR="00AD0CD3">
        <w:rPr>
          <w:rFonts w:cs="Arial"/>
        </w:rPr>
        <w:t>,</w:t>
      </w:r>
      <w:r w:rsidR="00E26E27">
        <w:rPr>
          <w:rFonts w:cs="Arial"/>
        </w:rPr>
        <w:t xml:space="preserve"> and are permitted as a novel food for purposes other than as a dietary fibre</w:t>
      </w:r>
      <w:r w:rsidR="00E26E27" w:rsidRPr="00E26E27">
        <w:rPr>
          <w:rFonts w:cs="Arial"/>
        </w:rPr>
        <w:t xml:space="preserve">. </w:t>
      </w:r>
      <w:r w:rsidR="00E26E27">
        <w:rPr>
          <w:rFonts w:cs="Arial"/>
        </w:rPr>
        <w:t>The regulatory approach</w:t>
      </w:r>
      <w:r w:rsidR="00E26E27" w:rsidRPr="00E26E27">
        <w:rPr>
          <w:rFonts w:cs="Arial"/>
        </w:rPr>
        <w:t xml:space="preserve"> considered by FSANZ for GOS w</w:t>
      </w:r>
      <w:r w:rsidR="005726F8">
        <w:rPr>
          <w:rFonts w:cs="Arial"/>
        </w:rPr>
        <w:t>as</w:t>
      </w:r>
      <w:r w:rsidR="00E26E27" w:rsidRPr="00E26E27">
        <w:rPr>
          <w:rFonts w:cs="Arial"/>
        </w:rPr>
        <w:t xml:space="preserve"> considered applicable to IMO.</w:t>
      </w:r>
    </w:p>
    <w:p w14:paraId="29A8F198" w14:textId="77D104CD" w:rsidR="00086F34" w:rsidRDefault="00086F34" w:rsidP="00D40130">
      <w:pPr>
        <w:pStyle w:val="ListParagraph"/>
        <w:widowControl/>
        <w:numPr>
          <w:ilvl w:val="0"/>
          <w:numId w:val="14"/>
        </w:numPr>
        <w:spacing w:before="120" w:after="120"/>
        <w:contextualSpacing w:val="0"/>
        <w:rPr>
          <w:rFonts w:cs="Arial"/>
        </w:rPr>
      </w:pPr>
      <w:r>
        <w:rPr>
          <w:rFonts w:cs="Arial"/>
        </w:rPr>
        <w:t xml:space="preserve">Available evidence on usage trends suggests that GOS (and IMO) is added to very few foods in Australia and New Zealand. The cost and purpose of addition of these (i.e. as prebiotics (for GOS and IMO) and a low calorie sweetener (for IMO) rather than dietary fibre) are limiting factors in the levels added by industry. </w:t>
      </w:r>
    </w:p>
    <w:p w14:paraId="035A64D8" w14:textId="735CD83E" w:rsidR="0040743D" w:rsidRPr="009D7302" w:rsidRDefault="0040743D" w:rsidP="000F267A">
      <w:pPr>
        <w:widowControl/>
        <w:spacing w:before="120" w:after="120"/>
      </w:pPr>
      <w:r>
        <w:rPr>
          <w:color w:val="000000" w:themeColor="text1"/>
        </w:rPr>
        <w:t xml:space="preserve">Following assessment and the preparation of a draft variation, </w:t>
      </w:r>
      <w:r>
        <w:rPr>
          <w:lang w:bidi="ar-SA"/>
        </w:rPr>
        <w:t xml:space="preserve">FSANZ called for submissions regarding the draft variation </w:t>
      </w:r>
      <w:r w:rsidRPr="0040743D">
        <w:rPr>
          <w:lang w:bidi="ar-SA"/>
        </w:rPr>
        <w:t>from 21 May to 22 June 2021</w:t>
      </w:r>
      <w:r>
        <w:rPr>
          <w:lang w:bidi="ar-SA"/>
        </w:rPr>
        <w:t xml:space="preserve">. Eleven submissions were received, </w:t>
      </w:r>
      <w:r w:rsidRPr="0040743D">
        <w:rPr>
          <w:lang w:bidi="ar-SA"/>
        </w:rPr>
        <w:t>five from government agencies and six from industry stakeholders</w:t>
      </w:r>
      <w:r>
        <w:rPr>
          <w:lang w:bidi="ar-SA"/>
        </w:rPr>
        <w:t xml:space="preserve">. In general, the </w:t>
      </w:r>
      <w:r>
        <w:t xml:space="preserve">government agencies expressed concerns </w:t>
      </w:r>
      <w:r w:rsidR="00F81706">
        <w:t>related to</w:t>
      </w:r>
      <w:r>
        <w:t xml:space="preserve"> </w:t>
      </w:r>
      <w:r w:rsidRPr="00C4701E">
        <w:rPr>
          <w:rFonts w:cs="Arial"/>
        </w:rPr>
        <w:t>AOAC 2017.16</w:t>
      </w:r>
      <w:r>
        <w:t xml:space="preserve">’s limitations, while industry fully supported the </w:t>
      </w:r>
      <w:r w:rsidR="009D7302">
        <w:t xml:space="preserve">proposed </w:t>
      </w:r>
      <w:r>
        <w:t>draft variation</w:t>
      </w:r>
      <w:r w:rsidR="009D7302">
        <w:t xml:space="preserve">. Shortly after consultation opened, Codex indicated AOAC 2017.16 </w:t>
      </w:r>
      <w:r w:rsidR="00EE2F01">
        <w:t xml:space="preserve">is an item for formal adoption at CAC44 </w:t>
      </w:r>
      <w:r w:rsidR="009D7302">
        <w:t>in November 2021</w:t>
      </w:r>
      <w:r w:rsidR="009D7302">
        <w:rPr>
          <w:rStyle w:val="FootnoteReference"/>
        </w:rPr>
        <w:footnoteReference w:id="4"/>
      </w:r>
      <w:r w:rsidR="009D7302">
        <w:t xml:space="preserve">. </w:t>
      </w:r>
      <w:r w:rsidR="009D7302">
        <w:lastRenderedPageBreak/>
        <w:t>FSANZ undertook additional targeted consultation with submitting government agencies and key industry representatives. The outcome was increased stakeholder confidence with FSANZ’s proposed regulatory approach</w:t>
      </w:r>
      <w:r w:rsidR="009D7302" w:rsidRPr="00050D5A">
        <w:rPr>
          <w:rFonts w:eastAsia="Calibri"/>
        </w:rPr>
        <w:t xml:space="preserve"> </w:t>
      </w:r>
      <w:r w:rsidR="00190D66" w:rsidRPr="00050D5A">
        <w:rPr>
          <w:rFonts w:eastAsia="Calibri"/>
        </w:rPr>
        <w:t>(see Section 2.1 of this report for details of submissions made</w:t>
      </w:r>
      <w:r w:rsidR="009D7302">
        <w:rPr>
          <w:rFonts w:eastAsia="Calibri"/>
        </w:rPr>
        <w:t xml:space="preserve"> and targeted consultation</w:t>
      </w:r>
      <w:r w:rsidR="00190D66" w:rsidRPr="00050D5A">
        <w:rPr>
          <w:rFonts w:eastAsia="Calibri"/>
        </w:rPr>
        <w:t>)</w:t>
      </w:r>
      <w:r>
        <w:t>.</w:t>
      </w:r>
    </w:p>
    <w:p w14:paraId="0F296668" w14:textId="4DC2C3B0" w:rsidR="006E22F9" w:rsidRPr="00C4701E" w:rsidRDefault="00190D66" w:rsidP="000F267A">
      <w:pPr>
        <w:widowControl/>
        <w:spacing w:before="120" w:after="120"/>
        <w:rPr>
          <w:rFonts w:cs="Arial"/>
          <w:lang w:val="en-AU"/>
        </w:rPr>
      </w:pPr>
      <w:r w:rsidRPr="0043718E">
        <w:t>Based on the information above and on other relevant consid</w:t>
      </w:r>
      <w:r>
        <w:t>erations set out in this report</w:t>
      </w:r>
      <w:r>
        <w:rPr>
          <w:lang w:bidi="ar-SA"/>
        </w:rPr>
        <w:t xml:space="preserve">, </w:t>
      </w:r>
      <w:r w:rsidR="00E26E27">
        <w:rPr>
          <w:rFonts w:cs="Arial"/>
          <w:lang w:val="en-AU"/>
        </w:rPr>
        <w:t>F</w:t>
      </w:r>
      <w:r w:rsidR="006E22F9" w:rsidRPr="00C4701E">
        <w:rPr>
          <w:rFonts w:cs="Arial"/>
          <w:lang w:val="en-AU"/>
        </w:rPr>
        <w:t xml:space="preserve">SANZ </w:t>
      </w:r>
      <w:r w:rsidR="000E6F62">
        <w:rPr>
          <w:rFonts w:cs="Arial"/>
          <w:lang w:val="en-AU"/>
        </w:rPr>
        <w:t>concludes</w:t>
      </w:r>
      <w:r w:rsidR="000E6F62" w:rsidRPr="00C4701E">
        <w:rPr>
          <w:rFonts w:cs="Arial"/>
          <w:lang w:val="en-AU"/>
        </w:rPr>
        <w:t xml:space="preserve"> </w:t>
      </w:r>
      <w:r w:rsidR="00444F25" w:rsidRPr="00C4701E">
        <w:rPr>
          <w:rFonts w:cs="Arial"/>
          <w:lang w:val="en-AU"/>
        </w:rPr>
        <w:t xml:space="preserve">the most </w:t>
      </w:r>
      <w:r w:rsidR="000E6F62">
        <w:rPr>
          <w:rFonts w:cs="Arial"/>
          <w:lang w:val="en-AU"/>
        </w:rPr>
        <w:t xml:space="preserve">appropriate </w:t>
      </w:r>
      <w:r w:rsidR="00444F25" w:rsidRPr="00C4701E">
        <w:rPr>
          <w:rFonts w:cs="Arial"/>
          <w:lang w:val="en-AU"/>
        </w:rPr>
        <w:t xml:space="preserve">response </w:t>
      </w:r>
      <w:r w:rsidR="00AE156C">
        <w:rPr>
          <w:rFonts w:cs="Arial"/>
          <w:lang w:val="en-AU"/>
        </w:rPr>
        <w:t xml:space="preserve">is </w:t>
      </w:r>
      <w:r w:rsidR="00444F25">
        <w:rPr>
          <w:rFonts w:cs="Arial"/>
          <w:lang w:val="en-AU"/>
        </w:rPr>
        <w:t>to</w:t>
      </w:r>
      <w:r w:rsidR="006E22F9" w:rsidRPr="00C4701E">
        <w:rPr>
          <w:rFonts w:cs="Arial"/>
          <w:lang w:val="en-AU"/>
        </w:rPr>
        <w:t xml:space="preserve"> permit AOAC 2017.16 without restriction because:</w:t>
      </w:r>
    </w:p>
    <w:p w14:paraId="58897B00" w14:textId="42A2F3FC" w:rsidR="00777ABA" w:rsidRPr="00C4701E" w:rsidRDefault="00777ABA" w:rsidP="00D40130">
      <w:pPr>
        <w:pStyle w:val="ListParagraph"/>
        <w:widowControl/>
        <w:numPr>
          <w:ilvl w:val="0"/>
          <w:numId w:val="15"/>
        </w:numPr>
        <w:spacing w:before="120" w:after="120"/>
        <w:contextualSpacing w:val="0"/>
        <w:rPr>
          <w:rFonts w:cs="Arial"/>
        </w:rPr>
      </w:pPr>
      <w:r w:rsidRPr="00C4701E">
        <w:rPr>
          <w:rFonts w:cs="Arial"/>
        </w:rPr>
        <w:t xml:space="preserve">No single method of analysis can comprehensively measure all low and high molecular weight dietary fibre. Of all methods </w:t>
      </w:r>
      <w:r w:rsidR="0079710E">
        <w:t>FSANZ has assessed to date</w:t>
      </w:r>
      <w:r w:rsidRPr="00C4701E">
        <w:rPr>
          <w:rFonts w:cs="Arial"/>
        </w:rPr>
        <w:t xml:space="preserve">, AOAC 2017.16 provides the </w:t>
      </w:r>
      <w:r w:rsidR="00444F25">
        <w:rPr>
          <w:rFonts w:cs="Arial"/>
        </w:rPr>
        <w:t>most comprehensive</w:t>
      </w:r>
      <w:r w:rsidR="00444F25" w:rsidRPr="00C4701E">
        <w:rPr>
          <w:rFonts w:cs="Arial"/>
        </w:rPr>
        <w:t xml:space="preserve"> </w:t>
      </w:r>
      <w:r w:rsidRPr="00C4701E">
        <w:rPr>
          <w:rFonts w:cs="Arial"/>
        </w:rPr>
        <w:t>dietary fibre value</w:t>
      </w:r>
      <w:r w:rsidR="0079710E">
        <w:rPr>
          <w:rFonts w:cs="Arial"/>
        </w:rPr>
        <w:t xml:space="preserve">, and resolves some limitations </w:t>
      </w:r>
      <w:r w:rsidR="00591C11">
        <w:rPr>
          <w:rFonts w:cs="Arial"/>
        </w:rPr>
        <w:t>seen in older methods of analysis for dietary fibre</w:t>
      </w:r>
      <w:r w:rsidRPr="00C4701E">
        <w:rPr>
          <w:rFonts w:cs="Arial"/>
        </w:rPr>
        <w:t>.</w:t>
      </w:r>
    </w:p>
    <w:p w14:paraId="63BE79F1" w14:textId="34B17BA8" w:rsidR="00591C11" w:rsidRDefault="00591C11" w:rsidP="00D40130">
      <w:pPr>
        <w:pStyle w:val="ListParagraph"/>
        <w:widowControl/>
        <w:numPr>
          <w:ilvl w:val="0"/>
          <w:numId w:val="15"/>
        </w:numPr>
        <w:spacing w:before="120" w:after="120"/>
        <w:contextualSpacing w:val="0"/>
      </w:pPr>
      <w:r>
        <w:t>It is expected that consumers will continue to be provided with adequate information to enable informed choice about dietary fibre in food products because:</w:t>
      </w:r>
    </w:p>
    <w:p w14:paraId="1D59039F" w14:textId="20EE3DE9" w:rsidR="00591C11" w:rsidRDefault="00591C11" w:rsidP="00D40130">
      <w:pPr>
        <w:pStyle w:val="ListParagraph"/>
        <w:numPr>
          <w:ilvl w:val="1"/>
          <w:numId w:val="15"/>
        </w:numPr>
        <w:spacing w:before="120" w:after="120"/>
      </w:pPr>
      <w:r>
        <w:t>the low levels of GOS (and IMO) in the food supply would not considerably alter food composition data, NIPs for dietary fibre or F point scores for the NPSC;</w:t>
      </w:r>
    </w:p>
    <w:p w14:paraId="2CB6C9CA" w14:textId="5AE2A232" w:rsidR="001600BB" w:rsidRDefault="00591C11" w:rsidP="00D40130">
      <w:pPr>
        <w:pStyle w:val="ListParagraph"/>
        <w:numPr>
          <w:ilvl w:val="1"/>
          <w:numId w:val="15"/>
        </w:numPr>
        <w:spacing w:before="120" w:after="120"/>
        <w:contextualSpacing w:val="0"/>
        <w:rPr>
          <w:rFonts w:cs="Arial"/>
        </w:rPr>
      </w:pPr>
      <w:r>
        <w:t>existing labelling requirements in the Code would continue to ensure that consumers are provided with adequate information relating to the dietary fibre content of food to enable informed choices</w:t>
      </w:r>
      <w:r w:rsidR="00AE0AD4">
        <w:t>.</w:t>
      </w:r>
      <w:r>
        <w:t xml:space="preserve"> </w:t>
      </w:r>
    </w:p>
    <w:p w14:paraId="6342590D" w14:textId="3F899DD2" w:rsidR="00777ABA" w:rsidRPr="00C4701E" w:rsidRDefault="00777ABA" w:rsidP="00D40130">
      <w:pPr>
        <w:pStyle w:val="ListParagraph"/>
        <w:widowControl/>
        <w:numPr>
          <w:ilvl w:val="0"/>
          <w:numId w:val="15"/>
        </w:numPr>
        <w:spacing w:before="120" w:after="120"/>
        <w:contextualSpacing w:val="0"/>
        <w:rPr>
          <w:rFonts w:cs="Arial"/>
        </w:rPr>
      </w:pPr>
      <w:r w:rsidRPr="00C4701E">
        <w:rPr>
          <w:rFonts w:cs="Arial"/>
          <w:lang w:eastAsia="en-AU"/>
        </w:rPr>
        <w:t>This is a voluntary method that enables innovation</w:t>
      </w:r>
      <w:r>
        <w:rPr>
          <w:rFonts w:cs="Arial"/>
          <w:lang w:eastAsia="en-AU"/>
        </w:rPr>
        <w:t xml:space="preserve"> by,</w:t>
      </w:r>
      <w:r w:rsidRPr="00C4701E">
        <w:rPr>
          <w:rFonts w:cs="Arial"/>
          <w:lang w:eastAsia="en-AU"/>
        </w:rPr>
        <w:t xml:space="preserve"> </w:t>
      </w:r>
      <w:r>
        <w:rPr>
          <w:rFonts w:cs="Arial"/>
          <w:lang w:eastAsia="en-AU"/>
        </w:rPr>
        <w:t>and promotes trade opportunities for</w:t>
      </w:r>
      <w:r w:rsidRPr="00C4701E">
        <w:rPr>
          <w:rFonts w:cs="Arial"/>
          <w:lang w:eastAsia="en-AU"/>
        </w:rPr>
        <w:t xml:space="preserve"> industry to measure dietary fibre by a single comprehensive method</w:t>
      </w:r>
      <w:r>
        <w:rPr>
          <w:rFonts w:cs="Arial"/>
          <w:lang w:eastAsia="en-AU"/>
        </w:rPr>
        <w:t xml:space="preserve"> that is accepted internationally</w:t>
      </w:r>
      <w:r>
        <w:rPr>
          <w:rFonts w:cs="Arial"/>
        </w:rPr>
        <w:t>.</w:t>
      </w:r>
    </w:p>
    <w:p w14:paraId="035F3605" w14:textId="03573A33" w:rsidR="00777ABA" w:rsidRDefault="00777ABA" w:rsidP="00D40130">
      <w:pPr>
        <w:pStyle w:val="ListParagraph"/>
        <w:numPr>
          <w:ilvl w:val="0"/>
          <w:numId w:val="15"/>
        </w:numPr>
        <w:spacing w:before="120" w:after="120"/>
        <w:contextualSpacing w:val="0"/>
        <w:rPr>
          <w:rFonts w:cs="Arial"/>
        </w:rPr>
      </w:pPr>
      <w:r w:rsidRPr="00C4701E">
        <w:rPr>
          <w:rFonts w:cs="Arial"/>
          <w:lang w:eastAsia="en-AU"/>
        </w:rPr>
        <w:t xml:space="preserve">Permitting AOAC 2017.16 provides international harmonisation with Codex and countries comparable to Australia and New Zealand such as </w:t>
      </w:r>
      <w:r>
        <w:rPr>
          <w:rFonts w:cs="Arial"/>
          <w:lang w:eastAsia="en-AU"/>
        </w:rPr>
        <w:t xml:space="preserve">the </w:t>
      </w:r>
      <w:r w:rsidRPr="00C4701E">
        <w:rPr>
          <w:rFonts w:cs="Arial"/>
          <w:lang w:eastAsia="en-AU"/>
        </w:rPr>
        <w:t>United States (US)</w:t>
      </w:r>
      <w:r>
        <w:rPr>
          <w:rFonts w:cs="Arial"/>
          <w:lang w:eastAsia="en-AU"/>
        </w:rPr>
        <w:t>,</w:t>
      </w:r>
      <w:r w:rsidRPr="00C4701E">
        <w:rPr>
          <w:rFonts w:cs="Arial"/>
          <w:lang w:eastAsia="en-AU"/>
        </w:rPr>
        <w:t xml:space="preserve"> Canada</w:t>
      </w:r>
      <w:r>
        <w:rPr>
          <w:rFonts w:cs="Arial"/>
          <w:lang w:eastAsia="en-AU"/>
        </w:rPr>
        <w:t xml:space="preserve">, and countries in </w:t>
      </w:r>
      <w:r w:rsidRPr="00C4701E">
        <w:rPr>
          <w:rFonts w:cs="Arial"/>
          <w:lang w:eastAsia="en-AU"/>
        </w:rPr>
        <w:t xml:space="preserve">the European Union (EU), </w:t>
      </w:r>
      <w:r w:rsidRPr="00C4701E">
        <w:rPr>
          <w:rFonts w:cs="Arial"/>
        </w:rPr>
        <w:t xml:space="preserve">who </w:t>
      </w:r>
      <w:r w:rsidRPr="00C4701E">
        <w:rPr>
          <w:rFonts w:cs="Arial"/>
          <w:lang w:eastAsia="en-AU"/>
        </w:rPr>
        <w:t>have</w:t>
      </w:r>
      <w:r w:rsidRPr="00C4701E">
        <w:rPr>
          <w:rFonts w:cs="Arial"/>
        </w:rPr>
        <w:t xml:space="preserve"> embraced newer methods of analysis</w:t>
      </w:r>
      <w:r w:rsidRPr="00C4701E">
        <w:rPr>
          <w:rFonts w:cs="Arial"/>
          <w:lang w:eastAsia="en-AU"/>
        </w:rPr>
        <w:t xml:space="preserve"> for total dietary fibre.</w:t>
      </w:r>
    </w:p>
    <w:p w14:paraId="303A9462" w14:textId="55F0CE67" w:rsidR="000613A2" w:rsidRDefault="003116E6" w:rsidP="005E5B9A">
      <w:pPr>
        <w:spacing w:before="120" w:after="120"/>
        <w:rPr>
          <w:rFonts w:cs="Arial"/>
        </w:rPr>
      </w:pPr>
      <w:r>
        <w:rPr>
          <w:lang w:bidi="ar-SA"/>
        </w:rPr>
        <w:t xml:space="preserve">Based on the information above and on other relevant considerations set out </w:t>
      </w:r>
      <w:r w:rsidRPr="00B773C4">
        <w:rPr>
          <w:lang w:bidi="ar-SA"/>
        </w:rPr>
        <w:t xml:space="preserve">in this report, FSANZ </w:t>
      </w:r>
      <w:r>
        <w:rPr>
          <w:lang w:bidi="ar-SA"/>
        </w:rPr>
        <w:t>has</w:t>
      </w:r>
      <w:r w:rsidRPr="00B773C4">
        <w:rPr>
          <w:lang w:bidi="ar-SA"/>
        </w:rPr>
        <w:t xml:space="preserve"> </w:t>
      </w:r>
      <w:r w:rsidR="00190D66">
        <w:rPr>
          <w:lang w:bidi="ar-SA"/>
        </w:rPr>
        <w:t xml:space="preserve">decided to </w:t>
      </w:r>
      <w:r w:rsidRPr="00B773C4">
        <w:rPr>
          <w:lang w:bidi="ar-SA"/>
        </w:rPr>
        <w:t>approve the draft variation proposed following assessment</w:t>
      </w:r>
      <w:r w:rsidR="000613A2">
        <w:rPr>
          <w:lang w:bidi="ar-SA"/>
        </w:rPr>
        <w:t>,</w:t>
      </w:r>
      <w:r>
        <w:rPr>
          <w:lang w:bidi="ar-SA"/>
        </w:rPr>
        <w:t xml:space="preserve"> without change</w:t>
      </w:r>
      <w:r w:rsidRPr="00B773C4">
        <w:rPr>
          <w:lang w:bidi="ar-SA"/>
        </w:rPr>
        <w:t>.</w:t>
      </w:r>
      <w:r w:rsidRPr="003116E6">
        <w:t xml:space="preserve"> </w:t>
      </w:r>
      <w:r w:rsidRPr="00B773C4">
        <w:t xml:space="preserve">The </w:t>
      </w:r>
      <w:r>
        <w:t xml:space="preserve">approved </w:t>
      </w:r>
      <w:r w:rsidRPr="00B773C4">
        <w:t>draft variation will</w:t>
      </w:r>
      <w:r w:rsidR="00583D9E">
        <w:rPr>
          <w:rFonts w:cs="Arial"/>
        </w:rPr>
        <w:t xml:space="preserve"> permit the </w:t>
      </w:r>
      <w:r w:rsidR="00583D9E" w:rsidRPr="00583D9E">
        <w:rPr>
          <w:rFonts w:cs="Arial"/>
        </w:rPr>
        <w:t xml:space="preserve">voluntary </w:t>
      </w:r>
      <w:r w:rsidR="00583D9E">
        <w:rPr>
          <w:rFonts w:cs="Arial"/>
        </w:rPr>
        <w:t xml:space="preserve">use of AOAC 2017.16 as a </w:t>
      </w:r>
      <w:r w:rsidR="00583D9E" w:rsidRPr="00583D9E">
        <w:rPr>
          <w:rFonts w:cs="Arial"/>
        </w:rPr>
        <w:t>method of analysis for total dietary fibre</w:t>
      </w:r>
      <w:r>
        <w:rPr>
          <w:rFonts w:cs="Arial"/>
        </w:rPr>
        <w:t xml:space="preserve">, by amending </w:t>
      </w:r>
      <w:r w:rsidR="00A90C26">
        <w:rPr>
          <w:szCs w:val="22"/>
        </w:rPr>
        <w:t>section S11—</w:t>
      </w:r>
      <w:r w:rsidR="00A90C26" w:rsidRPr="00624DD2">
        <w:rPr>
          <w:szCs w:val="22"/>
        </w:rPr>
        <w:t xml:space="preserve">4 </w:t>
      </w:r>
      <w:r>
        <w:rPr>
          <w:rFonts w:cs="Arial"/>
        </w:rPr>
        <w:t>of the Code.</w:t>
      </w:r>
    </w:p>
    <w:p w14:paraId="0B81CA0A" w14:textId="02CFC142" w:rsidR="00DB79E6" w:rsidRPr="00645AD0" w:rsidRDefault="00D31616" w:rsidP="00D31616">
      <w:pPr>
        <w:spacing w:before="120" w:after="120"/>
        <w:rPr>
          <w:szCs w:val="22"/>
        </w:rPr>
      </w:pPr>
      <w:r w:rsidRPr="00645AD0">
        <w:rPr>
          <w:szCs w:val="22"/>
        </w:rPr>
        <w:t xml:space="preserve">FSANZ </w:t>
      </w:r>
      <w:r w:rsidR="00DB79E6" w:rsidRPr="00645AD0">
        <w:rPr>
          <w:szCs w:val="22"/>
        </w:rPr>
        <w:t>will continue to consider the following elements relevant to this permission:</w:t>
      </w:r>
    </w:p>
    <w:p w14:paraId="6C41634E" w14:textId="3C4EF78F" w:rsidR="00D31616" w:rsidRPr="00645AD0" w:rsidRDefault="00D31616" w:rsidP="00D31616">
      <w:pPr>
        <w:pStyle w:val="ListParagraph"/>
        <w:widowControl/>
        <w:numPr>
          <w:ilvl w:val="0"/>
          <w:numId w:val="26"/>
        </w:numPr>
        <w:spacing w:before="120" w:after="120"/>
        <w:ind w:left="714" w:hanging="357"/>
        <w:contextualSpacing w:val="0"/>
        <w:rPr>
          <w:rFonts w:cs="Arial"/>
          <w:szCs w:val="22"/>
          <w:lang w:bidi="ar-SA"/>
        </w:rPr>
      </w:pPr>
      <w:r w:rsidRPr="00645AD0">
        <w:rPr>
          <w:rFonts w:cs="Arial"/>
        </w:rPr>
        <w:t>Codex</w:t>
      </w:r>
      <w:r w:rsidR="00DB79E6" w:rsidRPr="00645AD0">
        <w:rPr>
          <w:rFonts w:cs="Arial"/>
        </w:rPr>
        <w:t>’s final</w:t>
      </w:r>
      <w:r w:rsidRPr="00645AD0">
        <w:rPr>
          <w:rFonts w:cs="Arial"/>
        </w:rPr>
        <w:t xml:space="preserve"> decision </w:t>
      </w:r>
      <w:r w:rsidR="00DB79E6" w:rsidRPr="00645AD0">
        <w:rPr>
          <w:rFonts w:cs="Arial"/>
        </w:rPr>
        <w:t>on</w:t>
      </w:r>
      <w:r w:rsidRPr="00645AD0">
        <w:rPr>
          <w:rFonts w:cs="Arial"/>
        </w:rPr>
        <w:t xml:space="preserve"> </w:t>
      </w:r>
      <w:r w:rsidR="00DB79E6" w:rsidRPr="00645AD0">
        <w:rPr>
          <w:rFonts w:cs="Arial"/>
        </w:rPr>
        <w:t xml:space="preserve">the adoption of </w:t>
      </w:r>
      <w:r w:rsidRPr="00645AD0">
        <w:rPr>
          <w:rFonts w:cs="Arial"/>
        </w:rPr>
        <w:t>AOAC 2017.16 in early November</w:t>
      </w:r>
      <w:r w:rsidR="00DB79E6" w:rsidRPr="00645AD0">
        <w:rPr>
          <w:rFonts w:cs="Arial"/>
        </w:rPr>
        <w:t xml:space="preserve"> 2021;</w:t>
      </w:r>
    </w:p>
    <w:p w14:paraId="238B909D" w14:textId="45CD50E0" w:rsidR="00D31616" w:rsidRPr="00645AD0" w:rsidRDefault="00D31616" w:rsidP="00D31616">
      <w:pPr>
        <w:pStyle w:val="ListParagraph"/>
        <w:numPr>
          <w:ilvl w:val="0"/>
          <w:numId w:val="26"/>
        </w:numPr>
        <w:spacing w:before="120" w:after="120"/>
        <w:ind w:left="714" w:hanging="357"/>
        <w:contextualSpacing w:val="0"/>
        <w:rPr>
          <w:szCs w:val="22"/>
        </w:rPr>
      </w:pPr>
      <w:r w:rsidRPr="00645AD0">
        <w:rPr>
          <w:rFonts w:cs="Arial"/>
        </w:rPr>
        <w:t>the</w:t>
      </w:r>
      <w:r w:rsidR="00DB79E6" w:rsidRPr="00645AD0">
        <w:rPr>
          <w:rFonts w:cs="Arial"/>
        </w:rPr>
        <w:t xml:space="preserve"> currency of the</w:t>
      </w:r>
      <w:r w:rsidRPr="00645AD0">
        <w:rPr>
          <w:rFonts w:cs="Arial"/>
        </w:rPr>
        <w:t xml:space="preserve"> Code’s definition of dietary fibre, including alignment internationally</w:t>
      </w:r>
      <w:r w:rsidR="00DB79E6" w:rsidRPr="00645AD0">
        <w:rPr>
          <w:rFonts w:cs="Arial"/>
        </w:rPr>
        <w:t>;</w:t>
      </w:r>
      <w:r w:rsidR="00F44C2F" w:rsidRPr="00645AD0">
        <w:rPr>
          <w:rFonts w:cs="Arial"/>
        </w:rPr>
        <w:t xml:space="preserve"> and</w:t>
      </w:r>
    </w:p>
    <w:p w14:paraId="3C379274" w14:textId="24E541C6" w:rsidR="00D31616" w:rsidRPr="00645AD0" w:rsidRDefault="009222E6" w:rsidP="00D31616">
      <w:pPr>
        <w:pStyle w:val="ListParagraph"/>
        <w:numPr>
          <w:ilvl w:val="0"/>
          <w:numId w:val="26"/>
        </w:numPr>
        <w:spacing w:before="120" w:after="120"/>
        <w:ind w:left="714" w:hanging="357"/>
        <w:contextualSpacing w:val="0"/>
        <w:rPr>
          <w:szCs w:val="22"/>
        </w:rPr>
      </w:pPr>
      <w:r w:rsidRPr="00645AD0">
        <w:rPr>
          <w:rFonts w:cs="Arial"/>
        </w:rPr>
        <w:t>a</w:t>
      </w:r>
      <w:r w:rsidR="00DB79E6" w:rsidRPr="00645AD0">
        <w:rPr>
          <w:rFonts w:cs="Arial"/>
        </w:rPr>
        <w:t xml:space="preserve"> </w:t>
      </w:r>
      <w:r w:rsidR="00D31616" w:rsidRPr="00645AD0">
        <w:rPr>
          <w:rFonts w:cs="Arial"/>
        </w:rPr>
        <w:t xml:space="preserve">watching brief on </w:t>
      </w:r>
      <w:r w:rsidRPr="00645AD0">
        <w:rPr>
          <w:rFonts w:cs="Arial"/>
        </w:rPr>
        <w:t xml:space="preserve">the </w:t>
      </w:r>
      <w:r w:rsidR="00DB79E6" w:rsidRPr="00645AD0">
        <w:rPr>
          <w:rFonts w:cs="Arial"/>
        </w:rPr>
        <w:t xml:space="preserve">uptake of AOAC 2017.16 and trends in reported </w:t>
      </w:r>
      <w:r w:rsidR="00D31616" w:rsidRPr="00645AD0">
        <w:rPr>
          <w:rFonts w:cs="Arial"/>
        </w:rPr>
        <w:t xml:space="preserve">total dietary fibre values, in particular any significant </w:t>
      </w:r>
      <w:r w:rsidR="00DB79E6" w:rsidRPr="00645AD0">
        <w:rPr>
          <w:rFonts w:cs="Arial"/>
        </w:rPr>
        <w:t>changes</w:t>
      </w:r>
      <w:r w:rsidR="00D31616" w:rsidRPr="00645AD0">
        <w:rPr>
          <w:rFonts w:cs="Arial"/>
        </w:rPr>
        <w:t xml:space="preserve"> to </w:t>
      </w:r>
      <w:r w:rsidR="00572AEC" w:rsidRPr="00645AD0">
        <w:rPr>
          <w:rFonts w:cs="Arial"/>
        </w:rPr>
        <w:t xml:space="preserve">front-of-pack </w:t>
      </w:r>
      <w:r w:rsidRPr="00645AD0">
        <w:rPr>
          <w:rFonts w:cs="Arial"/>
        </w:rPr>
        <w:t>label reporting.</w:t>
      </w:r>
    </w:p>
    <w:p w14:paraId="122B2CAC" w14:textId="77777777" w:rsidR="00D31616" w:rsidRDefault="00D31616" w:rsidP="005E5B9A">
      <w:pPr>
        <w:spacing w:before="120" w:after="120"/>
      </w:pPr>
    </w:p>
    <w:p w14:paraId="13214073" w14:textId="77777777" w:rsidR="000613A2" w:rsidRDefault="000613A2">
      <w:pPr>
        <w:widowControl/>
      </w:pPr>
      <w:r>
        <w:br w:type="page"/>
      </w:r>
    </w:p>
    <w:p w14:paraId="66C5FAE9" w14:textId="1076517E" w:rsidR="007A53BF" w:rsidRPr="001B50A0" w:rsidRDefault="007A53BF" w:rsidP="00DC4AE5">
      <w:pPr>
        <w:pStyle w:val="Heading1"/>
        <w:numPr>
          <w:ilvl w:val="0"/>
          <w:numId w:val="23"/>
        </w:numPr>
        <w:ind w:left="851"/>
      </w:pPr>
      <w:bookmarkStart w:id="10" w:name="_Toc300933417"/>
      <w:bookmarkStart w:id="11" w:name="_Toc370223464"/>
      <w:bookmarkStart w:id="12" w:name="_Toc86240816"/>
      <w:r w:rsidRPr="001B50A0">
        <w:lastRenderedPageBreak/>
        <w:t>Introduction</w:t>
      </w:r>
      <w:bookmarkEnd w:id="10"/>
      <w:bookmarkEnd w:id="11"/>
      <w:bookmarkEnd w:id="12"/>
    </w:p>
    <w:p w14:paraId="54379A87" w14:textId="142C16AF" w:rsidR="007A53BF" w:rsidRPr="00411020" w:rsidRDefault="007A53BF" w:rsidP="00D40130">
      <w:pPr>
        <w:pStyle w:val="Heading2"/>
        <w:numPr>
          <w:ilvl w:val="1"/>
          <w:numId w:val="23"/>
        </w:numPr>
      </w:pPr>
      <w:bookmarkStart w:id="13" w:name="_Toc300761890"/>
      <w:bookmarkStart w:id="14" w:name="_Toc300933419"/>
      <w:bookmarkStart w:id="15" w:name="_Toc370223465"/>
      <w:bookmarkStart w:id="16" w:name="_Toc86240817"/>
      <w:r w:rsidRPr="00411020">
        <w:t>The Applicant</w:t>
      </w:r>
      <w:bookmarkEnd w:id="13"/>
      <w:bookmarkEnd w:id="14"/>
      <w:bookmarkEnd w:id="15"/>
      <w:bookmarkEnd w:id="16"/>
    </w:p>
    <w:p w14:paraId="32E7F582" w14:textId="1C7EC9C3" w:rsidR="00326CE0" w:rsidRPr="004D60AC" w:rsidRDefault="00326CE0" w:rsidP="003648E6">
      <w:pPr>
        <w:widowControl/>
        <w:autoSpaceDE w:val="0"/>
        <w:autoSpaceDN w:val="0"/>
        <w:adjustRightInd w:val="0"/>
        <w:spacing w:before="120" w:after="120"/>
        <w:rPr>
          <w:rFonts w:cs="Arial"/>
          <w:szCs w:val="22"/>
          <w:lang w:eastAsia="en-GB" w:bidi="ar-SA"/>
        </w:rPr>
      </w:pPr>
      <w:bookmarkStart w:id="17" w:name="_Toc300761891"/>
      <w:bookmarkStart w:id="18" w:name="_Toc300933420"/>
      <w:bookmarkStart w:id="19" w:name="_Toc370223466"/>
      <w:r w:rsidRPr="004D60AC">
        <w:rPr>
          <w:rFonts w:cs="Arial"/>
          <w:szCs w:val="22"/>
          <w:lang w:eastAsia="en-GB" w:bidi="ar-SA"/>
        </w:rPr>
        <w:t>The Grains and Legumes Nutrition Council (</w:t>
      </w:r>
      <w:r>
        <w:rPr>
          <w:rFonts w:cs="Arial"/>
          <w:szCs w:val="22"/>
          <w:lang w:eastAsia="en-GB" w:bidi="ar-SA"/>
        </w:rPr>
        <w:t xml:space="preserve">the </w:t>
      </w:r>
      <w:r w:rsidR="0082559D">
        <w:rPr>
          <w:rFonts w:cs="Arial"/>
          <w:szCs w:val="22"/>
          <w:lang w:eastAsia="en-GB" w:bidi="ar-SA"/>
        </w:rPr>
        <w:t>Applicant</w:t>
      </w:r>
      <w:r w:rsidRPr="004D60AC">
        <w:rPr>
          <w:rFonts w:cs="Arial"/>
          <w:szCs w:val="22"/>
          <w:lang w:eastAsia="en-GB" w:bidi="ar-SA"/>
        </w:rPr>
        <w:t>) is a not</w:t>
      </w:r>
      <w:r w:rsidRPr="004D60AC">
        <w:rPr>
          <w:rFonts w:ascii="Cambria Math" w:hAnsi="Cambria Math" w:cs="Cambria Math"/>
          <w:szCs w:val="22"/>
          <w:lang w:eastAsia="en-GB" w:bidi="ar-SA"/>
        </w:rPr>
        <w:t>‐</w:t>
      </w:r>
      <w:r w:rsidRPr="004D60AC">
        <w:rPr>
          <w:rFonts w:cs="Arial"/>
          <w:szCs w:val="22"/>
          <w:lang w:eastAsia="en-GB" w:bidi="ar-SA"/>
        </w:rPr>
        <w:t>for</w:t>
      </w:r>
      <w:r w:rsidRPr="004D60AC">
        <w:rPr>
          <w:rFonts w:ascii="Cambria Math" w:hAnsi="Cambria Math" w:cs="Cambria Math"/>
          <w:szCs w:val="22"/>
          <w:lang w:eastAsia="en-GB" w:bidi="ar-SA"/>
        </w:rPr>
        <w:t>‐</w:t>
      </w:r>
      <w:r>
        <w:rPr>
          <w:rFonts w:cs="Arial"/>
          <w:szCs w:val="22"/>
          <w:lang w:eastAsia="en-GB" w:bidi="ar-SA"/>
        </w:rPr>
        <w:t>profit organisation promoting</w:t>
      </w:r>
      <w:r w:rsidRPr="004D60AC">
        <w:rPr>
          <w:rFonts w:cs="Arial"/>
          <w:szCs w:val="22"/>
          <w:lang w:eastAsia="en-GB" w:bidi="ar-SA"/>
        </w:rPr>
        <w:t xml:space="preserve"> the nutrition and health</w:t>
      </w:r>
      <w:r>
        <w:rPr>
          <w:rFonts w:cs="Arial"/>
          <w:szCs w:val="22"/>
          <w:lang w:eastAsia="en-GB" w:bidi="ar-SA"/>
        </w:rPr>
        <w:t xml:space="preserve"> benefits of grains and legumes. The </w:t>
      </w:r>
      <w:r w:rsidR="0082559D">
        <w:rPr>
          <w:rFonts w:cs="Arial"/>
          <w:szCs w:val="22"/>
          <w:lang w:eastAsia="en-GB" w:bidi="ar-SA"/>
        </w:rPr>
        <w:t>Applicant</w:t>
      </w:r>
      <w:r>
        <w:rPr>
          <w:rFonts w:cs="Arial"/>
          <w:szCs w:val="22"/>
          <w:lang w:eastAsia="en-GB" w:bidi="ar-SA"/>
        </w:rPr>
        <w:t xml:space="preserve">’s </w:t>
      </w:r>
      <w:r w:rsidRPr="00EF7822">
        <w:rPr>
          <w:rFonts w:cs="Arial"/>
          <w:szCs w:val="22"/>
          <w:lang w:eastAsia="en-GB" w:bidi="ar-SA"/>
        </w:rPr>
        <w:t xml:space="preserve">mission is to promote grains </w:t>
      </w:r>
      <w:r>
        <w:rPr>
          <w:rFonts w:cs="Arial"/>
          <w:szCs w:val="22"/>
          <w:lang w:eastAsia="en-GB" w:bidi="ar-SA"/>
        </w:rPr>
        <w:t>and</w:t>
      </w:r>
      <w:r w:rsidRPr="00EF7822">
        <w:rPr>
          <w:rFonts w:cs="Arial"/>
          <w:szCs w:val="22"/>
          <w:lang w:eastAsia="en-GB" w:bidi="ar-SA"/>
        </w:rPr>
        <w:t xml:space="preserve"> legumes as part of a balanced diet through evidence-based information, while supporting the industry to benefit all Australians.</w:t>
      </w:r>
      <w:r>
        <w:rPr>
          <w:rFonts w:cs="Arial"/>
          <w:szCs w:val="22"/>
          <w:lang w:eastAsia="en-GB" w:bidi="ar-SA"/>
        </w:rPr>
        <w:t xml:space="preserve"> </w:t>
      </w:r>
      <w:r>
        <w:rPr>
          <w:rFonts w:cs="Arial"/>
          <w:szCs w:val="22"/>
        </w:rPr>
        <w:t xml:space="preserve">This </w:t>
      </w:r>
      <w:r w:rsidRPr="004D60AC">
        <w:rPr>
          <w:rFonts w:cs="Arial"/>
          <w:szCs w:val="22"/>
        </w:rPr>
        <w:t xml:space="preserve">application </w:t>
      </w:r>
      <w:r w:rsidR="00631174">
        <w:rPr>
          <w:rFonts w:cs="Arial"/>
          <w:szCs w:val="22"/>
        </w:rPr>
        <w:t>was submitted by the A</w:t>
      </w:r>
      <w:r>
        <w:rPr>
          <w:rFonts w:cs="Arial"/>
          <w:szCs w:val="22"/>
        </w:rPr>
        <w:t xml:space="preserve">pplicant </w:t>
      </w:r>
      <w:r w:rsidRPr="004D60AC">
        <w:rPr>
          <w:rFonts w:cs="Arial"/>
          <w:szCs w:val="22"/>
        </w:rPr>
        <w:t xml:space="preserve">on behalf of </w:t>
      </w:r>
      <w:r>
        <w:rPr>
          <w:rFonts w:cs="Arial"/>
          <w:szCs w:val="22"/>
        </w:rPr>
        <w:t xml:space="preserve">its </w:t>
      </w:r>
      <w:r w:rsidRPr="004D60AC">
        <w:rPr>
          <w:rFonts w:cs="Arial"/>
          <w:szCs w:val="22"/>
        </w:rPr>
        <w:t xml:space="preserve">Australian </w:t>
      </w:r>
      <w:r>
        <w:rPr>
          <w:rFonts w:cs="Arial"/>
          <w:szCs w:val="22"/>
        </w:rPr>
        <w:t>member</w:t>
      </w:r>
      <w:r w:rsidRPr="004D60AC">
        <w:rPr>
          <w:rFonts w:cs="Arial"/>
          <w:szCs w:val="22"/>
        </w:rPr>
        <w:t xml:space="preserve"> grains and cereal manufacturers.</w:t>
      </w:r>
    </w:p>
    <w:p w14:paraId="74F19653" w14:textId="6E04BB47" w:rsidR="007A53BF" w:rsidRPr="007A53BF" w:rsidRDefault="007A53BF" w:rsidP="00D40130">
      <w:pPr>
        <w:pStyle w:val="Heading2"/>
        <w:numPr>
          <w:ilvl w:val="1"/>
          <w:numId w:val="23"/>
        </w:numPr>
        <w:spacing w:before="120" w:after="120"/>
      </w:pPr>
      <w:bookmarkStart w:id="20" w:name="_Toc86240818"/>
      <w:r w:rsidRPr="007A53BF">
        <w:t xml:space="preserve">The </w:t>
      </w:r>
      <w:r w:rsidRPr="00326CE0">
        <w:t>Application</w:t>
      </w:r>
      <w:bookmarkEnd w:id="17"/>
      <w:bookmarkEnd w:id="18"/>
      <w:bookmarkEnd w:id="19"/>
      <w:bookmarkEnd w:id="20"/>
    </w:p>
    <w:p w14:paraId="1B7C2FF0" w14:textId="24004372" w:rsidR="00326CE0" w:rsidRPr="004D60AC" w:rsidRDefault="00FE1BD7" w:rsidP="003648E6">
      <w:pPr>
        <w:widowControl/>
        <w:spacing w:before="120" w:after="120"/>
      </w:pPr>
      <w:bookmarkStart w:id="21" w:name="_Toc300761892"/>
      <w:bookmarkStart w:id="22" w:name="_Toc300933421"/>
      <w:bookmarkStart w:id="23" w:name="_Toc370223467"/>
      <w:r>
        <w:t>T</w:t>
      </w:r>
      <w:r w:rsidR="00326CE0">
        <w:t xml:space="preserve">he </w:t>
      </w:r>
      <w:r w:rsidR="0082559D">
        <w:t xml:space="preserve">Applicant </w:t>
      </w:r>
      <w:r>
        <w:t xml:space="preserve">sought </w:t>
      </w:r>
      <w:r w:rsidR="00326CE0" w:rsidRPr="004D60AC">
        <w:t xml:space="preserve">to amend the </w:t>
      </w:r>
      <w:r w:rsidR="00326CE0" w:rsidRPr="00FD3413">
        <w:t>Australia New Zealand Food Standards Code</w:t>
      </w:r>
      <w:r w:rsidR="00326CE0" w:rsidRPr="004D60AC">
        <w:rPr>
          <w:i/>
        </w:rPr>
        <w:t xml:space="preserve"> </w:t>
      </w:r>
      <w:r w:rsidR="00326CE0" w:rsidRPr="004D60AC">
        <w:t xml:space="preserve">(the Code) to </w:t>
      </w:r>
      <w:r w:rsidR="00326CE0">
        <w:t xml:space="preserve">permit </w:t>
      </w:r>
      <w:r w:rsidR="00326CE0" w:rsidRPr="00074709">
        <w:rPr>
          <w:i/>
        </w:rPr>
        <w:t>AOAC Method 2017.16 - Rapid Integrated Total Dietary Fibre Method</w:t>
      </w:r>
      <w:r w:rsidR="00326CE0">
        <w:t xml:space="preserve"> (AOAC 2017.16) as a new method of analysis for measuring total dietary fibre</w:t>
      </w:r>
      <w:r w:rsidR="00326CE0">
        <w:rPr>
          <w:rStyle w:val="FootnoteReference"/>
        </w:rPr>
        <w:footnoteReference w:id="5"/>
      </w:r>
      <w:r w:rsidR="00326CE0">
        <w:t xml:space="preserve"> content in food and food ingredients. The method is listed in the Official Methods of Analysis of AOAC International, </w:t>
      </w:r>
      <w:r w:rsidR="00326CE0" w:rsidRPr="001D6108">
        <w:rPr>
          <w:szCs w:val="22"/>
        </w:rPr>
        <w:t>twenty first edition, 2019</w:t>
      </w:r>
      <w:r w:rsidR="00326CE0">
        <w:rPr>
          <w:i/>
          <w:szCs w:val="22"/>
        </w:rPr>
        <w:t xml:space="preserve"> </w:t>
      </w:r>
      <w:r w:rsidR="00326CE0">
        <w:t xml:space="preserve">(AOAC 2019). At </w:t>
      </w:r>
      <w:r w:rsidR="005A4DBE">
        <w:t xml:space="preserve">the </w:t>
      </w:r>
      <w:r w:rsidR="00326CE0">
        <w:t xml:space="preserve">time of application submission, AOAC 2017.16 had obtained AOAC ‘first action’ status </w:t>
      </w:r>
      <w:r>
        <w:t>meaning</w:t>
      </w:r>
      <w:r w:rsidR="00326CE0">
        <w:t xml:space="preserve"> the method </w:t>
      </w:r>
      <w:r>
        <w:t xml:space="preserve">had been </w:t>
      </w:r>
      <w:r w:rsidR="00326CE0">
        <w:t>validated by an inter-laboratory evaluation.</w:t>
      </w:r>
      <w:r w:rsidR="000613A2">
        <w:t xml:space="preserve"> Note: it has since been granted ‘final action’ status by the AOAC.</w:t>
      </w:r>
    </w:p>
    <w:p w14:paraId="0647BFFD" w14:textId="04C47057" w:rsidR="00326CE0" w:rsidRDefault="00326CE0" w:rsidP="003648E6">
      <w:pPr>
        <w:widowControl/>
        <w:spacing w:before="120" w:after="120"/>
      </w:pPr>
      <w:r w:rsidRPr="004D60AC">
        <w:t>The applica</w:t>
      </w:r>
      <w:r>
        <w:t xml:space="preserve">tion </w:t>
      </w:r>
      <w:r w:rsidR="005A4DBE">
        <w:t xml:space="preserve">sought </w:t>
      </w:r>
      <w:r>
        <w:t>to permit</w:t>
      </w:r>
      <w:r w:rsidRPr="004D60AC">
        <w:t xml:space="preserve"> </w:t>
      </w:r>
      <w:r>
        <w:t>AOAC 2017.16 as an additional</w:t>
      </w:r>
      <w:r w:rsidRPr="004D60AC">
        <w:t xml:space="preserve"> method </w:t>
      </w:r>
      <w:r>
        <w:t xml:space="preserve">of analysis that captures total dietary fibre as defined </w:t>
      </w:r>
      <w:r w:rsidR="005E5B9A">
        <w:t xml:space="preserve">in </w:t>
      </w:r>
      <w:r>
        <w:t xml:space="preserve">Standard 1.1.2 </w:t>
      </w:r>
      <w:r w:rsidR="005E5B9A">
        <w:t>of</w:t>
      </w:r>
      <w:r>
        <w:t xml:space="preserve"> the Code. AOAC 2017.16 is</w:t>
      </w:r>
      <w:r w:rsidR="00EF3B92">
        <w:t xml:space="preserve"> the first</w:t>
      </w:r>
      <w:r>
        <w:t xml:space="preserve"> single </w:t>
      </w:r>
      <w:r>
        <w:rPr>
          <w:rFonts w:cs="Arial"/>
          <w:szCs w:val="22"/>
        </w:rPr>
        <w:t xml:space="preserve">method </w:t>
      </w:r>
      <w:r w:rsidR="00EF3B92">
        <w:rPr>
          <w:rFonts w:cs="Arial"/>
          <w:szCs w:val="22"/>
        </w:rPr>
        <w:t xml:space="preserve">available which </w:t>
      </w:r>
      <w:r>
        <w:rPr>
          <w:rFonts w:cs="Arial"/>
          <w:szCs w:val="22"/>
        </w:rPr>
        <w:t>measur</w:t>
      </w:r>
      <w:r w:rsidR="00EF3B92">
        <w:rPr>
          <w:rFonts w:cs="Arial"/>
          <w:szCs w:val="22"/>
        </w:rPr>
        <w:t xml:space="preserve">es </w:t>
      </w:r>
      <w:r w:rsidRPr="00671283">
        <w:rPr>
          <w:rFonts w:cs="Arial"/>
          <w:szCs w:val="22"/>
        </w:rPr>
        <w:t xml:space="preserve">all </w:t>
      </w:r>
      <w:r w:rsidR="009B668F">
        <w:rPr>
          <w:rFonts w:cs="Arial"/>
          <w:szCs w:val="22"/>
        </w:rPr>
        <w:t>(</w:t>
      </w:r>
      <w:r w:rsidR="009B668F" w:rsidRPr="00C4701E">
        <w:rPr>
          <w:rFonts w:cs="Arial"/>
        </w:rPr>
        <w:t xml:space="preserve">high </w:t>
      </w:r>
      <w:r w:rsidR="009B668F" w:rsidRPr="000F267A">
        <w:rPr>
          <w:rFonts w:cs="Arial"/>
          <w:i/>
        </w:rPr>
        <w:t>and</w:t>
      </w:r>
      <w:r w:rsidR="009B668F" w:rsidRPr="00C4701E">
        <w:rPr>
          <w:rFonts w:cs="Arial"/>
        </w:rPr>
        <w:t xml:space="preserve"> low molecular weight</w:t>
      </w:r>
      <w:r w:rsidR="009B668F">
        <w:rPr>
          <w:rFonts w:cs="Arial"/>
          <w:szCs w:val="22"/>
        </w:rPr>
        <w:t xml:space="preserve">) </w:t>
      </w:r>
      <w:r w:rsidRPr="00671283">
        <w:rPr>
          <w:rFonts w:cs="Arial"/>
          <w:szCs w:val="22"/>
        </w:rPr>
        <w:t xml:space="preserve">dietary fibre </w:t>
      </w:r>
      <w:r>
        <w:rPr>
          <w:rFonts w:cs="Arial"/>
          <w:szCs w:val="22"/>
        </w:rPr>
        <w:t>components</w:t>
      </w:r>
      <w:r w:rsidR="005E5B9A">
        <w:rPr>
          <w:rFonts w:cs="Arial"/>
          <w:szCs w:val="22"/>
        </w:rPr>
        <w:t xml:space="preserve"> including </w:t>
      </w:r>
      <w:r w:rsidR="005E5B9A" w:rsidRPr="00FC18AB">
        <w:rPr>
          <w:rFonts w:cs="Arial"/>
          <w:szCs w:val="22"/>
        </w:rPr>
        <w:t xml:space="preserve">galacto-oligosaccharides </w:t>
      </w:r>
      <w:r w:rsidR="005E5B9A" w:rsidRPr="00FC18AB">
        <w:t>(GOS)</w:t>
      </w:r>
      <w:r w:rsidR="005E5B9A" w:rsidRPr="00FC18AB">
        <w:rPr>
          <w:rFonts w:cs="Arial"/>
          <w:szCs w:val="22"/>
        </w:rPr>
        <w:t>.</w:t>
      </w:r>
    </w:p>
    <w:p w14:paraId="099D106D" w14:textId="2E25AFCD" w:rsidR="00326CE0" w:rsidRPr="00FC18AB" w:rsidRDefault="00326CE0" w:rsidP="003648E6">
      <w:pPr>
        <w:widowControl/>
        <w:spacing w:before="120" w:after="120"/>
        <w:rPr>
          <w:rFonts w:cs="Arial"/>
          <w:szCs w:val="22"/>
        </w:rPr>
      </w:pPr>
      <w:r>
        <w:rPr>
          <w:rFonts w:cs="Arial"/>
          <w:szCs w:val="22"/>
        </w:rPr>
        <w:t xml:space="preserve">The application </w:t>
      </w:r>
      <w:r w:rsidR="005E5B9A">
        <w:rPr>
          <w:rFonts w:cs="Arial"/>
          <w:szCs w:val="22"/>
        </w:rPr>
        <w:t>provided comparative</w:t>
      </w:r>
      <w:r>
        <w:rPr>
          <w:rFonts w:cs="Arial"/>
          <w:szCs w:val="22"/>
        </w:rPr>
        <w:t xml:space="preserve"> </w:t>
      </w:r>
      <w:r w:rsidRPr="005914CC">
        <w:rPr>
          <w:rFonts w:cs="Arial"/>
          <w:szCs w:val="22"/>
        </w:rPr>
        <w:t>cost data</w:t>
      </w:r>
      <w:r>
        <w:rPr>
          <w:rFonts w:cs="Arial"/>
          <w:szCs w:val="22"/>
        </w:rPr>
        <w:t xml:space="preserve"> </w:t>
      </w:r>
      <w:r w:rsidR="005E5B9A">
        <w:rPr>
          <w:rFonts w:cs="Arial"/>
          <w:szCs w:val="22"/>
        </w:rPr>
        <w:t xml:space="preserve">on the </w:t>
      </w:r>
      <w:r>
        <w:rPr>
          <w:rFonts w:cs="Arial"/>
          <w:szCs w:val="22"/>
        </w:rPr>
        <w:t xml:space="preserve">use of analytical methods currently in the Code </w:t>
      </w:r>
      <w:r w:rsidR="005E5B9A">
        <w:rPr>
          <w:rFonts w:cs="Arial"/>
          <w:szCs w:val="22"/>
        </w:rPr>
        <w:t>compared to</w:t>
      </w:r>
      <w:r>
        <w:rPr>
          <w:rFonts w:cs="Arial"/>
          <w:szCs w:val="22"/>
        </w:rPr>
        <w:t xml:space="preserve"> AOAC 2017.16</w:t>
      </w:r>
      <w:r w:rsidR="00052A02" w:rsidDel="001B0E22">
        <w:rPr>
          <w:rFonts w:cs="Arial"/>
          <w:szCs w:val="22"/>
        </w:rPr>
        <w:t xml:space="preserve"> </w:t>
      </w:r>
      <w:r w:rsidR="00052A02">
        <w:rPr>
          <w:rFonts w:cs="Arial"/>
          <w:szCs w:val="22"/>
        </w:rPr>
        <w:t>and determined costs range</w:t>
      </w:r>
      <w:r>
        <w:rPr>
          <w:rFonts w:cs="Arial"/>
          <w:szCs w:val="22"/>
        </w:rPr>
        <w:t xml:space="preserve"> </w:t>
      </w:r>
      <w:r w:rsidR="001B0E22">
        <w:rPr>
          <w:rFonts w:cs="Arial"/>
          <w:szCs w:val="22"/>
        </w:rPr>
        <w:t xml:space="preserve">from $230 to </w:t>
      </w:r>
      <w:r>
        <w:rPr>
          <w:rFonts w:cs="Arial"/>
          <w:szCs w:val="22"/>
        </w:rPr>
        <w:t xml:space="preserve">$635 per food sample </w:t>
      </w:r>
      <w:r w:rsidR="001B0E22">
        <w:rPr>
          <w:rFonts w:cs="Arial"/>
          <w:szCs w:val="22"/>
        </w:rPr>
        <w:t>analysed</w:t>
      </w:r>
      <w:r w:rsidR="001B0E22">
        <w:rPr>
          <w:rStyle w:val="FootnoteReference"/>
          <w:rFonts w:cs="Arial"/>
          <w:szCs w:val="22"/>
        </w:rPr>
        <w:footnoteReference w:id="6"/>
      </w:r>
      <w:r>
        <w:rPr>
          <w:rFonts w:cs="Arial"/>
          <w:szCs w:val="22"/>
        </w:rPr>
        <w:t xml:space="preserve">. </w:t>
      </w:r>
      <w:r w:rsidR="000040A3">
        <w:rPr>
          <w:rFonts w:cs="Arial"/>
          <w:szCs w:val="22"/>
        </w:rPr>
        <w:t>However t</w:t>
      </w:r>
      <w:r w:rsidRPr="005914CC">
        <w:rPr>
          <w:rFonts w:cs="Arial"/>
          <w:szCs w:val="22"/>
        </w:rPr>
        <w:t>he applica</w:t>
      </w:r>
      <w:r w:rsidR="009B668F">
        <w:rPr>
          <w:rFonts w:cs="Arial"/>
          <w:szCs w:val="22"/>
        </w:rPr>
        <w:t>tion</w:t>
      </w:r>
      <w:r w:rsidRPr="005914CC">
        <w:rPr>
          <w:rFonts w:cs="Arial"/>
          <w:szCs w:val="22"/>
        </w:rPr>
        <w:t xml:space="preserve"> also indicated that the </w:t>
      </w:r>
      <w:r w:rsidR="000040A3">
        <w:rPr>
          <w:rFonts w:cs="Arial"/>
          <w:szCs w:val="22"/>
        </w:rPr>
        <w:t xml:space="preserve">relative </w:t>
      </w:r>
      <w:r w:rsidRPr="005914CC">
        <w:rPr>
          <w:rFonts w:cs="Arial"/>
          <w:szCs w:val="22"/>
        </w:rPr>
        <w:t xml:space="preserve">cost of AOAC 2017.16 was lower than the cumulative cost </w:t>
      </w:r>
      <w:r w:rsidR="00EF3B92">
        <w:rPr>
          <w:rFonts w:cs="Arial"/>
          <w:szCs w:val="22"/>
        </w:rPr>
        <w:t xml:space="preserve">incurred through </w:t>
      </w:r>
      <w:r w:rsidR="00FC18AB">
        <w:rPr>
          <w:rFonts w:cs="Arial"/>
          <w:szCs w:val="22"/>
        </w:rPr>
        <w:t xml:space="preserve">current practice which requires the use of </w:t>
      </w:r>
      <w:r>
        <w:rPr>
          <w:rFonts w:cs="Arial"/>
          <w:szCs w:val="22"/>
        </w:rPr>
        <w:t xml:space="preserve">a total dietary fibre method (for </w:t>
      </w:r>
      <w:r w:rsidRPr="005914CC">
        <w:rPr>
          <w:rFonts w:cs="Arial"/>
          <w:szCs w:val="22"/>
        </w:rPr>
        <w:t>high molecular weight dietary fibre (HMWDF)</w:t>
      </w:r>
      <w:r>
        <w:rPr>
          <w:rFonts w:cs="Arial"/>
          <w:szCs w:val="22"/>
        </w:rPr>
        <w:t>)</w:t>
      </w:r>
      <w:r w:rsidRPr="005914CC">
        <w:rPr>
          <w:rFonts w:cs="Arial"/>
          <w:szCs w:val="22"/>
        </w:rPr>
        <w:t xml:space="preserve"> </w:t>
      </w:r>
      <w:r>
        <w:rPr>
          <w:rFonts w:cs="Arial"/>
          <w:szCs w:val="22"/>
        </w:rPr>
        <w:t xml:space="preserve">with two or more methods for a specifically named dietary fibre (often </w:t>
      </w:r>
      <w:r w:rsidR="00EF3B92">
        <w:rPr>
          <w:rFonts w:cs="Arial"/>
          <w:szCs w:val="22"/>
        </w:rPr>
        <w:t xml:space="preserve">a </w:t>
      </w:r>
      <w:r w:rsidRPr="005914CC">
        <w:rPr>
          <w:rFonts w:cs="Arial"/>
          <w:szCs w:val="22"/>
        </w:rPr>
        <w:t>low molecular weight dietary fibre (LMWDF)</w:t>
      </w:r>
      <w:r>
        <w:rPr>
          <w:rFonts w:cs="Arial"/>
          <w:szCs w:val="22"/>
        </w:rPr>
        <w:t xml:space="preserve"> or resistant starch)</w:t>
      </w:r>
      <w:r w:rsidRPr="005914CC">
        <w:rPr>
          <w:rFonts w:cs="Arial"/>
          <w:szCs w:val="22"/>
        </w:rPr>
        <w:t xml:space="preserve"> to determine a </w:t>
      </w:r>
      <w:r>
        <w:rPr>
          <w:rFonts w:cs="Arial"/>
          <w:szCs w:val="22"/>
        </w:rPr>
        <w:t>total</w:t>
      </w:r>
      <w:r w:rsidRPr="005914CC">
        <w:rPr>
          <w:rFonts w:cs="Arial"/>
          <w:szCs w:val="22"/>
        </w:rPr>
        <w:t xml:space="preserve"> dietary fibre</w:t>
      </w:r>
      <w:r w:rsidR="00FC18AB" w:rsidRPr="008F4356">
        <w:rPr>
          <w:rFonts w:cs="Arial"/>
          <w:szCs w:val="22"/>
        </w:rPr>
        <w:t xml:space="preserve"> </w:t>
      </w:r>
      <w:r w:rsidRPr="005914CC">
        <w:rPr>
          <w:rFonts w:cs="Arial"/>
          <w:szCs w:val="22"/>
        </w:rPr>
        <w:t>value</w:t>
      </w:r>
      <w:r w:rsidR="00EF3B92" w:rsidRPr="008F4356">
        <w:rPr>
          <w:rStyle w:val="FootnoteReference"/>
          <w:rFonts w:cs="Arial"/>
          <w:szCs w:val="22"/>
        </w:rPr>
        <w:footnoteReference w:id="7"/>
      </w:r>
      <w:r w:rsidRPr="005914CC">
        <w:rPr>
          <w:rFonts w:cs="Arial"/>
          <w:szCs w:val="22"/>
        </w:rPr>
        <w:t xml:space="preserve"> </w:t>
      </w:r>
      <w:r>
        <w:rPr>
          <w:rFonts w:cs="Arial"/>
          <w:szCs w:val="22"/>
        </w:rPr>
        <w:t>that aligns with that analysed by</w:t>
      </w:r>
      <w:r w:rsidRPr="005914CC">
        <w:rPr>
          <w:rFonts w:cs="Arial"/>
          <w:szCs w:val="22"/>
        </w:rPr>
        <w:t xml:space="preserve"> AOAC 2017.16.</w:t>
      </w:r>
    </w:p>
    <w:p w14:paraId="52B25BCE" w14:textId="3BE5831A" w:rsidR="007A53BF" w:rsidRPr="007A53BF" w:rsidRDefault="007A53BF" w:rsidP="00D40130">
      <w:pPr>
        <w:pStyle w:val="Heading2"/>
        <w:numPr>
          <w:ilvl w:val="1"/>
          <w:numId w:val="23"/>
        </w:numPr>
        <w:spacing w:before="120" w:after="120"/>
      </w:pPr>
      <w:bookmarkStart w:id="24" w:name="_Ref73454322"/>
      <w:bookmarkStart w:id="25" w:name="_Toc86240819"/>
      <w:r w:rsidRPr="007A53BF">
        <w:t xml:space="preserve">The current </w:t>
      </w:r>
      <w:r w:rsidR="005A4DBE">
        <w:t>s</w:t>
      </w:r>
      <w:r w:rsidRPr="007A53BF">
        <w:t>tandard</w:t>
      </w:r>
      <w:bookmarkEnd w:id="21"/>
      <w:bookmarkEnd w:id="22"/>
      <w:bookmarkEnd w:id="23"/>
      <w:bookmarkEnd w:id="24"/>
      <w:bookmarkEnd w:id="25"/>
    </w:p>
    <w:p w14:paraId="0A63FE07" w14:textId="77777777" w:rsidR="00326CE0" w:rsidRPr="00365141" w:rsidRDefault="00326CE0" w:rsidP="003648E6">
      <w:pPr>
        <w:spacing w:before="120" w:after="120"/>
      </w:pPr>
      <w:bookmarkStart w:id="26" w:name="_Toc286391007"/>
      <w:bookmarkStart w:id="27" w:name="_Toc300933423"/>
      <w:bookmarkStart w:id="28" w:name="_Toc370223468"/>
      <w:bookmarkStart w:id="29" w:name="_Toc175381432"/>
      <w:r w:rsidRPr="00365141">
        <w:rPr>
          <w:rFonts w:cs="Arial"/>
          <w:szCs w:val="22"/>
          <w:lang w:eastAsia="en-GB" w:bidi="ar-SA"/>
        </w:rPr>
        <w:t>Australian and New Zealand food laws require food for sale to comply with the following requirements in the Code.</w:t>
      </w:r>
      <w:r w:rsidRPr="00365141" w:rsidDel="00013483">
        <w:rPr>
          <w:rFonts w:ascii="Segoe UI" w:hAnsi="Segoe UI" w:cs="Segoe UI"/>
          <w:vanish/>
          <w:sz w:val="20"/>
          <w:szCs w:val="20"/>
        </w:rPr>
        <w:t xml:space="preserve"> </w:t>
      </w:r>
    </w:p>
    <w:p w14:paraId="39150E30" w14:textId="6D96E4BE" w:rsidR="00326CE0" w:rsidRPr="00365141" w:rsidRDefault="00326CE0" w:rsidP="00D40130">
      <w:pPr>
        <w:pStyle w:val="Heading3"/>
        <w:widowControl/>
        <w:numPr>
          <w:ilvl w:val="2"/>
          <w:numId w:val="23"/>
        </w:numPr>
      </w:pPr>
      <w:bookmarkStart w:id="30" w:name="_Toc67321500"/>
      <w:bookmarkStart w:id="31" w:name="_Toc69987906"/>
      <w:bookmarkStart w:id="32" w:name="_Toc70002628"/>
      <w:bookmarkStart w:id="33" w:name="_Toc86240820"/>
      <w:r w:rsidRPr="00365141">
        <w:t>Regulation of dietary fibre</w:t>
      </w:r>
      <w:bookmarkEnd w:id="30"/>
      <w:bookmarkEnd w:id="31"/>
      <w:bookmarkEnd w:id="32"/>
      <w:bookmarkEnd w:id="33"/>
    </w:p>
    <w:p w14:paraId="77CE1163" w14:textId="77777777" w:rsidR="00326CE0" w:rsidRDefault="00326CE0" w:rsidP="003648E6">
      <w:pPr>
        <w:widowControl/>
        <w:spacing w:before="120" w:after="120"/>
        <w:rPr>
          <w:rFonts w:cs="Arial"/>
          <w:szCs w:val="22"/>
        </w:rPr>
      </w:pPr>
      <w:r w:rsidRPr="004D60AC">
        <w:rPr>
          <w:rFonts w:cs="Arial"/>
          <w:szCs w:val="22"/>
        </w:rPr>
        <w:t xml:space="preserve">Standard 1.1.2 – </w:t>
      </w:r>
      <w:r w:rsidRPr="007D143A">
        <w:rPr>
          <w:rFonts w:cs="Arial"/>
          <w:szCs w:val="22"/>
        </w:rPr>
        <w:t>Definitions</w:t>
      </w:r>
      <w:r w:rsidRPr="004D60AC">
        <w:rPr>
          <w:rFonts w:cs="Arial"/>
          <w:i/>
          <w:szCs w:val="22"/>
        </w:rPr>
        <w:t xml:space="preserve"> </w:t>
      </w:r>
      <w:r>
        <w:rPr>
          <w:rFonts w:cs="Arial"/>
          <w:szCs w:val="22"/>
        </w:rPr>
        <w:t>defines dietary fibre as follows:</w:t>
      </w:r>
    </w:p>
    <w:tbl>
      <w:tblPr>
        <w:tblStyle w:val="TableGrid"/>
        <w:tblW w:w="0" w:type="auto"/>
        <w:tblLook w:val="04A0" w:firstRow="1" w:lastRow="0" w:firstColumn="1" w:lastColumn="0" w:noHBand="0" w:noVBand="1"/>
        <w:tblDescription w:val="The Code's dietary fibre definition"/>
      </w:tblPr>
      <w:tblGrid>
        <w:gridCol w:w="9060"/>
      </w:tblGrid>
      <w:tr w:rsidR="00326CE0" w14:paraId="5D4AEC8F" w14:textId="77777777" w:rsidTr="0051363F">
        <w:tc>
          <w:tcPr>
            <w:tcW w:w="9060" w:type="dxa"/>
          </w:tcPr>
          <w:p w14:paraId="377E0DE2" w14:textId="77777777" w:rsidR="00326CE0" w:rsidRPr="004D60AC" w:rsidRDefault="00326CE0" w:rsidP="003648E6">
            <w:pPr>
              <w:widowControl/>
              <w:shd w:val="clear" w:color="auto" w:fill="FFFFFF"/>
              <w:spacing w:before="120" w:after="120"/>
              <w:rPr>
                <w:rFonts w:cs="Arial"/>
                <w:szCs w:val="22"/>
                <w:lang w:eastAsia="en-AU"/>
              </w:rPr>
            </w:pPr>
            <w:r w:rsidRPr="004D60AC">
              <w:rPr>
                <w:rFonts w:cs="Arial"/>
                <w:b/>
                <w:i/>
                <w:szCs w:val="22"/>
                <w:lang w:eastAsia="en-AU"/>
              </w:rPr>
              <w:t>D</w:t>
            </w:r>
            <w:r w:rsidRPr="004D60AC">
              <w:rPr>
                <w:rFonts w:eastAsia="Arial Unicode MS" w:cs="Arial"/>
                <w:b/>
                <w:bCs/>
                <w:i/>
                <w:szCs w:val="22"/>
                <w:lang w:eastAsia="en-AU"/>
              </w:rPr>
              <w:t>ietary fibre</w:t>
            </w:r>
            <w:r w:rsidRPr="004D60AC">
              <w:rPr>
                <w:rFonts w:eastAsia="Arial Unicode MS" w:cs="Arial"/>
                <w:szCs w:val="22"/>
                <w:lang w:eastAsia="en-AU"/>
              </w:rPr>
              <w:t xml:space="preserve"> means that fraction of the edible part of plants or their extracts, or synthetic analogues that: </w:t>
            </w:r>
          </w:p>
          <w:p w14:paraId="79E767F2" w14:textId="77777777" w:rsidR="00326CE0" w:rsidRPr="004D60AC" w:rsidRDefault="00326CE0" w:rsidP="003648E6">
            <w:pPr>
              <w:widowControl/>
              <w:shd w:val="clear" w:color="auto" w:fill="FFFFFF"/>
              <w:spacing w:before="120" w:after="120"/>
              <w:ind w:left="1080" w:hanging="360"/>
              <w:rPr>
                <w:rFonts w:eastAsia="Arial Unicode MS" w:cs="Arial"/>
                <w:szCs w:val="22"/>
                <w:lang w:eastAsia="en-AU"/>
              </w:rPr>
            </w:pPr>
            <w:r w:rsidRPr="004D60AC">
              <w:rPr>
                <w:rFonts w:eastAsia="Arial Unicode MS" w:cs="Arial"/>
                <w:szCs w:val="22"/>
                <w:lang w:eastAsia="en-AU"/>
              </w:rPr>
              <w:t>(a)</w:t>
            </w:r>
            <w:r w:rsidRPr="004D60AC">
              <w:rPr>
                <w:rFonts w:eastAsia="Arial Unicode MS" w:cs="Arial"/>
                <w:szCs w:val="22"/>
                <w:lang w:eastAsia="en-AU"/>
              </w:rPr>
              <w:tab/>
            </w:r>
            <w:r>
              <w:rPr>
                <w:rFonts w:eastAsia="Arial Unicode MS" w:cs="Arial"/>
                <w:szCs w:val="22"/>
                <w:lang w:eastAsia="en-AU"/>
              </w:rPr>
              <w:t>is</w:t>
            </w:r>
            <w:r w:rsidRPr="004D60AC">
              <w:rPr>
                <w:rFonts w:eastAsia="Arial Unicode MS" w:cs="Arial"/>
                <w:szCs w:val="22"/>
                <w:lang w:eastAsia="en-AU"/>
              </w:rPr>
              <w:t xml:space="preserve"> resistant to digestion and absorption in the small intestine, usually with complete or partial fermentation in the large intestine; and</w:t>
            </w:r>
          </w:p>
          <w:p w14:paraId="3D8BAEBE" w14:textId="77777777" w:rsidR="00326CE0" w:rsidRPr="004D60AC" w:rsidRDefault="00326CE0" w:rsidP="003648E6">
            <w:pPr>
              <w:widowControl/>
              <w:shd w:val="clear" w:color="auto" w:fill="FFFFFF"/>
              <w:spacing w:before="120" w:after="120"/>
              <w:ind w:left="1080" w:hanging="360"/>
              <w:rPr>
                <w:rFonts w:eastAsia="Arial Unicode MS" w:cs="Arial"/>
                <w:szCs w:val="22"/>
                <w:lang w:eastAsia="en-AU"/>
              </w:rPr>
            </w:pPr>
            <w:r w:rsidRPr="004D60AC">
              <w:rPr>
                <w:rFonts w:eastAsia="Arial Unicode MS" w:cs="Arial"/>
                <w:szCs w:val="22"/>
                <w:lang w:eastAsia="en-AU"/>
              </w:rPr>
              <w:t>(b)</w:t>
            </w:r>
            <w:r w:rsidRPr="004D60AC">
              <w:rPr>
                <w:rFonts w:eastAsia="Arial Unicode MS" w:cs="Arial"/>
                <w:szCs w:val="22"/>
                <w:lang w:eastAsia="en-AU"/>
              </w:rPr>
              <w:tab/>
              <w:t>promote</w:t>
            </w:r>
            <w:r>
              <w:rPr>
                <w:rFonts w:eastAsia="Arial Unicode MS" w:cs="Arial"/>
                <w:szCs w:val="22"/>
                <w:lang w:eastAsia="en-AU"/>
              </w:rPr>
              <w:t>s</w:t>
            </w:r>
            <w:r w:rsidRPr="004D60AC">
              <w:rPr>
                <w:rFonts w:eastAsia="Arial Unicode MS" w:cs="Arial"/>
                <w:szCs w:val="22"/>
                <w:lang w:eastAsia="en-AU"/>
              </w:rPr>
              <w:t xml:space="preserve"> one or more of the following beneficial physiological effects: </w:t>
            </w:r>
          </w:p>
          <w:p w14:paraId="32BB845E" w14:textId="77777777" w:rsidR="00326CE0" w:rsidRPr="004D60AC" w:rsidRDefault="00326CE0" w:rsidP="003648E6">
            <w:pPr>
              <w:widowControl/>
              <w:shd w:val="clear" w:color="auto" w:fill="FFFFFF"/>
              <w:spacing w:before="120" w:after="120"/>
              <w:ind w:left="1080"/>
              <w:rPr>
                <w:rFonts w:eastAsia="Arial Unicode MS" w:cs="Arial"/>
                <w:szCs w:val="22"/>
                <w:lang w:eastAsia="en-AU"/>
              </w:rPr>
            </w:pPr>
            <w:r w:rsidRPr="004D60AC">
              <w:rPr>
                <w:rFonts w:cs="Arial"/>
                <w:szCs w:val="22"/>
                <w:lang w:eastAsia="en-AU"/>
              </w:rPr>
              <w:lastRenderedPageBreak/>
              <w:t>(i)</w:t>
            </w:r>
            <w:r w:rsidRPr="004D60AC">
              <w:rPr>
                <w:rFonts w:cs="Arial"/>
                <w:szCs w:val="22"/>
                <w:lang w:eastAsia="en-AU"/>
              </w:rPr>
              <w:tab/>
              <w:t>laxation</w:t>
            </w:r>
            <w:r>
              <w:rPr>
                <w:rFonts w:cs="Arial"/>
                <w:szCs w:val="22"/>
                <w:lang w:eastAsia="en-AU"/>
              </w:rPr>
              <w:t>;</w:t>
            </w:r>
          </w:p>
          <w:p w14:paraId="5ED1DFB7" w14:textId="77777777" w:rsidR="00326CE0" w:rsidRPr="004D60AC" w:rsidRDefault="00326CE0" w:rsidP="003648E6">
            <w:pPr>
              <w:widowControl/>
              <w:shd w:val="clear" w:color="auto" w:fill="FFFFFF"/>
              <w:spacing w:before="120" w:after="120"/>
              <w:ind w:left="1080"/>
              <w:rPr>
                <w:rFonts w:eastAsia="Arial Unicode MS" w:cs="Arial"/>
                <w:szCs w:val="22"/>
                <w:lang w:eastAsia="en-AU"/>
              </w:rPr>
            </w:pPr>
            <w:r w:rsidRPr="004D60AC">
              <w:rPr>
                <w:rFonts w:cs="Arial"/>
                <w:szCs w:val="22"/>
                <w:lang w:eastAsia="en-AU"/>
              </w:rPr>
              <w:t>(ii)</w:t>
            </w:r>
            <w:r w:rsidRPr="004D60AC">
              <w:rPr>
                <w:rFonts w:cs="Arial"/>
                <w:szCs w:val="22"/>
                <w:lang w:eastAsia="en-AU"/>
              </w:rPr>
              <w:tab/>
              <w:t>reduction in blood cholesterol</w:t>
            </w:r>
            <w:r>
              <w:rPr>
                <w:rFonts w:cs="Arial"/>
                <w:szCs w:val="22"/>
                <w:lang w:eastAsia="en-AU"/>
              </w:rPr>
              <w:t>;</w:t>
            </w:r>
          </w:p>
          <w:p w14:paraId="348059F4" w14:textId="77777777" w:rsidR="00326CE0" w:rsidRPr="004D60AC" w:rsidRDefault="00326CE0" w:rsidP="003648E6">
            <w:pPr>
              <w:widowControl/>
              <w:shd w:val="clear" w:color="auto" w:fill="FFFFFF"/>
              <w:spacing w:before="120" w:after="120"/>
              <w:ind w:left="1080"/>
              <w:rPr>
                <w:rFonts w:cs="Arial"/>
                <w:szCs w:val="22"/>
                <w:lang w:eastAsia="en-AU"/>
              </w:rPr>
            </w:pPr>
            <w:r w:rsidRPr="004D60AC">
              <w:rPr>
                <w:rFonts w:cs="Arial"/>
                <w:szCs w:val="22"/>
                <w:lang w:eastAsia="en-AU"/>
              </w:rPr>
              <w:t>(iii)</w:t>
            </w:r>
            <w:r w:rsidRPr="004D60AC">
              <w:rPr>
                <w:rFonts w:cs="Arial"/>
                <w:szCs w:val="22"/>
                <w:lang w:eastAsia="en-AU"/>
              </w:rPr>
              <w:tab/>
              <w:t xml:space="preserve">modulation of blood glucose </w:t>
            </w:r>
          </w:p>
          <w:p w14:paraId="3B07C3C0" w14:textId="77777777" w:rsidR="00326CE0" w:rsidRPr="004D60AC" w:rsidRDefault="00326CE0" w:rsidP="003648E6">
            <w:pPr>
              <w:widowControl/>
              <w:shd w:val="clear" w:color="auto" w:fill="FFFFFF"/>
              <w:spacing w:before="120" w:after="120"/>
              <w:ind w:left="1080"/>
              <w:rPr>
                <w:rFonts w:cs="Arial"/>
                <w:szCs w:val="22"/>
                <w:lang w:eastAsia="en-AU"/>
              </w:rPr>
            </w:pPr>
            <w:r w:rsidRPr="004D60AC">
              <w:rPr>
                <w:rFonts w:cs="Arial"/>
                <w:szCs w:val="22"/>
                <w:lang w:eastAsia="en-AU"/>
              </w:rPr>
              <w:t>and includes:</w:t>
            </w:r>
          </w:p>
          <w:p w14:paraId="33ED7BFC" w14:textId="77777777" w:rsidR="00326CE0" w:rsidRPr="004D60AC" w:rsidRDefault="00326CE0" w:rsidP="003648E6">
            <w:pPr>
              <w:widowControl/>
              <w:shd w:val="clear" w:color="auto" w:fill="FFFFFF"/>
              <w:spacing w:before="120" w:after="120"/>
              <w:ind w:left="1080" w:hanging="360"/>
              <w:rPr>
                <w:rFonts w:cs="Arial"/>
                <w:szCs w:val="22"/>
                <w:lang w:eastAsia="en-AU"/>
              </w:rPr>
            </w:pPr>
            <w:r w:rsidRPr="004D60AC">
              <w:rPr>
                <w:rFonts w:cs="Arial"/>
                <w:szCs w:val="22"/>
                <w:lang w:eastAsia="en-AU"/>
              </w:rPr>
              <w:t>(c)</w:t>
            </w:r>
            <w:r w:rsidRPr="004D60AC">
              <w:rPr>
                <w:rFonts w:cs="Arial"/>
                <w:szCs w:val="22"/>
                <w:lang w:eastAsia="en-AU"/>
              </w:rPr>
              <w:tab/>
              <w:t>polysaccharides or oligosaccharides that have a degree of polymerisation greater than 2; and</w:t>
            </w:r>
          </w:p>
          <w:p w14:paraId="38BA4737" w14:textId="77777777" w:rsidR="00326CE0" w:rsidRDefault="00326CE0" w:rsidP="003648E6">
            <w:pPr>
              <w:widowControl/>
              <w:shd w:val="clear" w:color="auto" w:fill="FFFFFF"/>
              <w:spacing w:before="120" w:after="120"/>
              <w:ind w:left="1080" w:hanging="360"/>
              <w:rPr>
                <w:rFonts w:cs="Arial"/>
                <w:szCs w:val="22"/>
                <w:lang w:eastAsia="en-AU"/>
              </w:rPr>
            </w:pPr>
            <w:r w:rsidRPr="004D60AC">
              <w:rPr>
                <w:rFonts w:cs="Arial"/>
                <w:szCs w:val="22"/>
                <w:lang w:eastAsia="en-AU"/>
              </w:rPr>
              <w:t>(d)</w:t>
            </w:r>
            <w:r w:rsidRPr="004D60AC">
              <w:rPr>
                <w:rFonts w:cs="Arial"/>
                <w:szCs w:val="22"/>
                <w:lang w:eastAsia="en-AU"/>
              </w:rPr>
              <w:tab/>
              <w:t>lignins.</w:t>
            </w:r>
          </w:p>
        </w:tc>
      </w:tr>
    </w:tbl>
    <w:p w14:paraId="1E621327" w14:textId="0D89626E" w:rsidR="00326CE0" w:rsidRPr="004D60AC" w:rsidRDefault="00326CE0" w:rsidP="003648E6">
      <w:pPr>
        <w:pStyle w:val="FSBullet1"/>
        <w:numPr>
          <w:ilvl w:val="0"/>
          <w:numId w:val="0"/>
        </w:numPr>
        <w:spacing w:before="120" w:after="120"/>
      </w:pPr>
      <w:r>
        <w:lastRenderedPageBreak/>
        <w:t>Section</w:t>
      </w:r>
      <w:r w:rsidRPr="004D60AC">
        <w:t xml:space="preserve"> S11—4 currently requires the use of one or more of the following AOAC</w:t>
      </w:r>
      <w:r>
        <w:t xml:space="preserve"> methods</w:t>
      </w:r>
      <w:r>
        <w:rPr>
          <w:rStyle w:val="FootnoteReference"/>
        </w:rPr>
        <w:footnoteReference w:id="8"/>
      </w:r>
      <w:r w:rsidRPr="004D60AC">
        <w:t xml:space="preserve"> to determine </w:t>
      </w:r>
      <w:r>
        <w:t xml:space="preserve">total </w:t>
      </w:r>
      <w:r w:rsidRPr="004D60AC">
        <w:t xml:space="preserve">dietary fibre </w:t>
      </w:r>
      <w:r>
        <w:t xml:space="preserve">and any specifically named fibre </w:t>
      </w:r>
      <w:r w:rsidRPr="004D60AC">
        <w:t>for the purposes of declar</w:t>
      </w:r>
      <w:r>
        <w:t>ing dietary fibre</w:t>
      </w:r>
      <w:r w:rsidRPr="004D60AC">
        <w:t xml:space="preserve"> in the nutrition information panel</w:t>
      </w:r>
      <w:r>
        <w:t xml:space="preserve"> (NIP)</w:t>
      </w:r>
      <w:r w:rsidRPr="004D60AC">
        <w:t xml:space="preserve"> </w:t>
      </w:r>
      <w:r>
        <w:t xml:space="preserve">(subsection 1.2.8—7(7)) </w:t>
      </w:r>
      <w:r w:rsidRPr="004D60AC">
        <w:t xml:space="preserve">and for </w:t>
      </w:r>
      <w:r>
        <w:t xml:space="preserve">determining </w:t>
      </w:r>
      <w:r w:rsidR="000350C6" w:rsidRPr="00C4701E">
        <w:t>fibre points (</w:t>
      </w:r>
      <w:r>
        <w:t>F points</w:t>
      </w:r>
      <w:r w:rsidR="000350C6">
        <w:t>)</w:t>
      </w:r>
      <w:r>
        <w:t xml:space="preserve"> for </w:t>
      </w:r>
      <w:r w:rsidRPr="004D60AC">
        <w:t xml:space="preserve">the </w:t>
      </w:r>
      <w:r>
        <w:t>purpose of determining if a product meets the nutrient profiling scoring criterion (NPSC) (subsection S5—6(2)):</w:t>
      </w:r>
    </w:p>
    <w:p w14:paraId="3385738B" w14:textId="0BA72A37" w:rsidR="00326CE0" w:rsidRPr="004D60AC" w:rsidRDefault="00326CE0" w:rsidP="00D40130">
      <w:pPr>
        <w:pStyle w:val="ListParagraph"/>
        <w:widowControl/>
        <w:numPr>
          <w:ilvl w:val="0"/>
          <w:numId w:val="5"/>
        </w:numPr>
        <w:spacing w:before="120" w:after="120"/>
        <w:contextualSpacing w:val="0"/>
        <w:rPr>
          <w:rFonts w:cs="Arial"/>
          <w:szCs w:val="22"/>
        </w:rPr>
      </w:pPr>
      <w:r w:rsidRPr="004D60AC">
        <w:rPr>
          <w:rFonts w:cs="Arial"/>
          <w:szCs w:val="22"/>
        </w:rPr>
        <w:t>for dietary fibre—</w:t>
      </w:r>
      <w:r w:rsidRPr="004D60AC">
        <w:t>AOAC</w:t>
      </w:r>
      <w:r w:rsidRPr="004D60AC">
        <w:rPr>
          <w:rFonts w:cs="Arial"/>
          <w:szCs w:val="22"/>
        </w:rPr>
        <w:t xml:space="preserve"> sections 985.29 or 991.43</w:t>
      </w:r>
    </w:p>
    <w:p w14:paraId="21AE7410" w14:textId="031D2AB8" w:rsidR="00326CE0" w:rsidRPr="004D60AC" w:rsidRDefault="00326CE0" w:rsidP="00D40130">
      <w:pPr>
        <w:pStyle w:val="ListParagraph"/>
        <w:widowControl/>
        <w:numPr>
          <w:ilvl w:val="0"/>
          <w:numId w:val="5"/>
        </w:numPr>
        <w:spacing w:before="120" w:after="120"/>
        <w:contextualSpacing w:val="0"/>
        <w:rPr>
          <w:rFonts w:cs="Arial"/>
          <w:szCs w:val="22"/>
        </w:rPr>
      </w:pPr>
      <w:r w:rsidRPr="004D60AC">
        <w:rPr>
          <w:rFonts w:cs="Arial"/>
          <w:szCs w:val="22"/>
        </w:rPr>
        <w:t>for dietary fibre (including all resistant maltodextrins)—</w:t>
      </w:r>
      <w:r w:rsidRPr="004D60AC">
        <w:t>AOAC</w:t>
      </w:r>
      <w:r w:rsidRPr="004D60AC">
        <w:rPr>
          <w:rFonts w:cs="Arial"/>
          <w:szCs w:val="22"/>
        </w:rPr>
        <w:t xml:space="preserve"> section 2001.03</w:t>
      </w:r>
    </w:p>
    <w:p w14:paraId="3CA7581D" w14:textId="39D38BC8" w:rsidR="00326CE0" w:rsidRPr="004D60AC" w:rsidRDefault="00326CE0" w:rsidP="00D40130">
      <w:pPr>
        <w:pStyle w:val="ListParagraph"/>
        <w:widowControl/>
        <w:numPr>
          <w:ilvl w:val="0"/>
          <w:numId w:val="5"/>
        </w:numPr>
        <w:spacing w:before="120" w:after="120"/>
        <w:contextualSpacing w:val="0"/>
        <w:rPr>
          <w:rFonts w:cs="Arial"/>
          <w:szCs w:val="22"/>
        </w:rPr>
      </w:pPr>
      <w:r w:rsidRPr="004D60AC">
        <w:rPr>
          <w:rFonts w:cs="Arial"/>
          <w:szCs w:val="22"/>
        </w:rPr>
        <w:t>for inulin and fructo</w:t>
      </w:r>
      <w:r w:rsidR="0066592A">
        <w:rPr>
          <w:rFonts w:cs="Arial"/>
          <w:szCs w:val="22"/>
        </w:rPr>
        <w:t>-</w:t>
      </w:r>
      <w:r w:rsidRPr="004D60AC">
        <w:rPr>
          <w:rFonts w:cs="Arial"/>
          <w:szCs w:val="22"/>
        </w:rPr>
        <w:t>oligosaccharide</w:t>
      </w:r>
      <w:r w:rsidR="0066592A">
        <w:rPr>
          <w:rFonts w:cs="Arial"/>
          <w:szCs w:val="22"/>
        </w:rPr>
        <w:t>s (FOS)</w:t>
      </w:r>
      <w:r w:rsidRPr="004D60AC">
        <w:rPr>
          <w:rFonts w:cs="Arial"/>
          <w:szCs w:val="22"/>
        </w:rPr>
        <w:t>—</w:t>
      </w:r>
      <w:r w:rsidRPr="004D60AC">
        <w:t>AOAC</w:t>
      </w:r>
      <w:r w:rsidRPr="004D60AC">
        <w:rPr>
          <w:rFonts w:cs="Arial"/>
          <w:szCs w:val="22"/>
        </w:rPr>
        <w:t xml:space="preserve"> section 997.08</w:t>
      </w:r>
    </w:p>
    <w:p w14:paraId="7AEC2341" w14:textId="3DE6F7B8" w:rsidR="00326CE0" w:rsidRPr="004D60AC" w:rsidRDefault="00326CE0" w:rsidP="00D40130">
      <w:pPr>
        <w:pStyle w:val="ListParagraph"/>
        <w:widowControl/>
        <w:numPr>
          <w:ilvl w:val="0"/>
          <w:numId w:val="5"/>
        </w:numPr>
        <w:spacing w:before="120" w:after="120"/>
        <w:contextualSpacing w:val="0"/>
        <w:rPr>
          <w:rFonts w:cs="Arial"/>
          <w:szCs w:val="22"/>
        </w:rPr>
      </w:pPr>
      <w:r w:rsidRPr="004D60AC">
        <w:rPr>
          <w:rFonts w:cs="Arial"/>
          <w:szCs w:val="22"/>
        </w:rPr>
        <w:t>for inulin—</w:t>
      </w:r>
      <w:r w:rsidRPr="004D60AC">
        <w:t>AOAC</w:t>
      </w:r>
      <w:r w:rsidRPr="004D60AC">
        <w:rPr>
          <w:rFonts w:cs="Arial"/>
          <w:szCs w:val="22"/>
        </w:rPr>
        <w:t xml:space="preserve"> section 999.03</w:t>
      </w:r>
    </w:p>
    <w:p w14:paraId="501162D5" w14:textId="6C806D47" w:rsidR="00326CE0" w:rsidRPr="004D60AC" w:rsidRDefault="00326CE0" w:rsidP="00D40130">
      <w:pPr>
        <w:pStyle w:val="ListParagraph"/>
        <w:widowControl/>
        <w:numPr>
          <w:ilvl w:val="0"/>
          <w:numId w:val="5"/>
        </w:numPr>
        <w:spacing w:before="120" w:after="120"/>
        <w:contextualSpacing w:val="0"/>
        <w:rPr>
          <w:rFonts w:cs="Arial"/>
          <w:szCs w:val="22"/>
        </w:rPr>
      </w:pPr>
      <w:r w:rsidRPr="004D60AC">
        <w:rPr>
          <w:rFonts w:cs="Arial"/>
          <w:szCs w:val="22"/>
        </w:rPr>
        <w:t>for polydextrose—</w:t>
      </w:r>
      <w:r w:rsidRPr="004D60AC">
        <w:t>AOAC</w:t>
      </w:r>
      <w:r w:rsidRPr="004D60AC">
        <w:rPr>
          <w:rFonts w:cs="Arial"/>
          <w:szCs w:val="22"/>
        </w:rPr>
        <w:t xml:space="preserve"> section 2000.11</w:t>
      </w:r>
    </w:p>
    <w:p w14:paraId="460966B6" w14:textId="032A4F0E" w:rsidR="00326CE0" w:rsidRDefault="00326CE0" w:rsidP="00D40130">
      <w:pPr>
        <w:pStyle w:val="ListParagraph"/>
        <w:widowControl/>
        <w:numPr>
          <w:ilvl w:val="0"/>
          <w:numId w:val="5"/>
        </w:numPr>
        <w:spacing w:before="120" w:after="120"/>
        <w:contextualSpacing w:val="0"/>
        <w:rPr>
          <w:rFonts w:cs="Arial"/>
          <w:szCs w:val="22"/>
        </w:rPr>
      </w:pPr>
      <w:r w:rsidRPr="004D60AC">
        <w:rPr>
          <w:rFonts w:cs="Arial"/>
          <w:szCs w:val="22"/>
        </w:rPr>
        <w:t>for resistant starch—</w:t>
      </w:r>
      <w:r w:rsidRPr="004D60AC">
        <w:t>AOAC</w:t>
      </w:r>
      <w:r w:rsidRPr="004D60AC">
        <w:rPr>
          <w:rFonts w:cs="Arial"/>
          <w:szCs w:val="22"/>
        </w:rPr>
        <w:t xml:space="preserve"> section 2002.02.</w:t>
      </w:r>
    </w:p>
    <w:p w14:paraId="71B62C15" w14:textId="7A6FA4CE" w:rsidR="00326CE0" w:rsidRPr="00C630D2" w:rsidRDefault="00326CE0" w:rsidP="00D40130">
      <w:pPr>
        <w:pStyle w:val="Heading3"/>
        <w:widowControl/>
        <w:numPr>
          <w:ilvl w:val="2"/>
          <w:numId w:val="23"/>
        </w:numPr>
      </w:pPr>
      <w:bookmarkStart w:id="34" w:name="_Toc67321501"/>
      <w:bookmarkStart w:id="35" w:name="_Toc69987907"/>
      <w:bookmarkStart w:id="36" w:name="_Toc70002629"/>
      <w:bookmarkStart w:id="37" w:name="_Toc86240821"/>
      <w:r w:rsidRPr="004D60AC">
        <w:t>Labelling</w:t>
      </w:r>
      <w:r>
        <w:t xml:space="preserve"> requirements for dietary fibre</w:t>
      </w:r>
      <w:bookmarkEnd w:id="34"/>
      <w:bookmarkEnd w:id="35"/>
      <w:bookmarkEnd w:id="36"/>
      <w:bookmarkEnd w:id="37"/>
    </w:p>
    <w:p w14:paraId="74C604E8" w14:textId="77777777" w:rsidR="00326CE0" w:rsidRDefault="00326CE0" w:rsidP="003648E6">
      <w:pPr>
        <w:widowControl/>
        <w:shd w:val="clear" w:color="auto" w:fill="FFFFFF"/>
        <w:spacing w:before="120" w:after="120"/>
        <w:rPr>
          <w:rFonts w:cs="Arial"/>
          <w:szCs w:val="22"/>
        </w:rPr>
      </w:pPr>
      <w:r w:rsidRPr="00274D38">
        <w:rPr>
          <w:rFonts w:cs="Arial"/>
          <w:szCs w:val="22"/>
        </w:rPr>
        <w:t>Declaration of the</w:t>
      </w:r>
      <w:r>
        <w:rPr>
          <w:rFonts w:cs="Arial"/>
          <w:szCs w:val="22"/>
        </w:rPr>
        <w:t xml:space="preserve"> total dietary fibre </w:t>
      </w:r>
      <w:bookmarkStart w:id="38" w:name="_Toc7617332"/>
      <w:r w:rsidRPr="004D60AC">
        <w:rPr>
          <w:rFonts w:cs="Arial"/>
          <w:szCs w:val="22"/>
        </w:rPr>
        <w:t>content or any specifically named dietary fibre content is required for nutrition information labelling purposes under Standard 1.2.8</w:t>
      </w:r>
      <w:r w:rsidDel="003A1A5B">
        <w:rPr>
          <w:rFonts w:cs="Arial"/>
          <w:szCs w:val="22"/>
        </w:rPr>
        <w:t>.</w:t>
      </w:r>
      <w:r w:rsidRPr="004D60AC" w:rsidDel="003A1A5B">
        <w:rPr>
          <w:rFonts w:cs="Arial"/>
          <w:szCs w:val="22"/>
        </w:rPr>
        <w:t xml:space="preserve"> </w:t>
      </w:r>
      <w:r>
        <w:rPr>
          <w:rFonts w:cs="Arial"/>
          <w:szCs w:val="22"/>
        </w:rPr>
        <w:t>A</w:t>
      </w:r>
      <w:r w:rsidRPr="004D60AC">
        <w:rPr>
          <w:rFonts w:cs="Arial"/>
          <w:szCs w:val="22"/>
        </w:rPr>
        <w:t xml:space="preserve"> declaration of the presence or absence of dietary fibre must be included in the</w:t>
      </w:r>
      <w:r>
        <w:rPr>
          <w:rFonts w:cs="Arial"/>
          <w:szCs w:val="22"/>
        </w:rPr>
        <w:t xml:space="preserve"> NIP</w:t>
      </w:r>
      <w:r w:rsidRPr="004D60AC" w:rsidDel="003A1A5B">
        <w:rPr>
          <w:rFonts w:cs="Arial"/>
          <w:szCs w:val="22"/>
        </w:rPr>
        <w:t xml:space="preserve"> </w:t>
      </w:r>
      <w:r w:rsidRPr="004D60AC">
        <w:rPr>
          <w:rFonts w:cs="Arial"/>
          <w:szCs w:val="22"/>
        </w:rPr>
        <w:t xml:space="preserve">if a </w:t>
      </w:r>
      <w:r>
        <w:rPr>
          <w:rFonts w:cs="Arial"/>
          <w:szCs w:val="22"/>
        </w:rPr>
        <w:t>nutrition content or health claim is made about:</w:t>
      </w:r>
    </w:p>
    <w:p w14:paraId="6BB72C0B" w14:textId="77777777" w:rsidR="00326CE0" w:rsidRDefault="00326CE0" w:rsidP="00D40130">
      <w:pPr>
        <w:pStyle w:val="FSBullet1"/>
        <w:numPr>
          <w:ilvl w:val="0"/>
          <w:numId w:val="6"/>
        </w:numPr>
        <w:spacing w:before="120" w:after="120"/>
      </w:pPr>
      <w:r w:rsidRPr="007E31B2">
        <w:t>dietary fibre</w:t>
      </w:r>
      <w:r>
        <w:t>;</w:t>
      </w:r>
      <w:r w:rsidRPr="007E31B2">
        <w:t xml:space="preserve"> </w:t>
      </w:r>
    </w:p>
    <w:p w14:paraId="6D219442" w14:textId="77777777" w:rsidR="00326CE0" w:rsidRDefault="00326CE0" w:rsidP="00D40130">
      <w:pPr>
        <w:pStyle w:val="FSBullet1"/>
        <w:numPr>
          <w:ilvl w:val="0"/>
          <w:numId w:val="6"/>
        </w:numPr>
        <w:spacing w:before="120" w:after="120"/>
      </w:pPr>
      <w:r w:rsidRPr="007E31B2">
        <w:t>any specifically named dietary fibre</w:t>
      </w:r>
      <w:r>
        <w:t>;</w:t>
      </w:r>
      <w:r w:rsidRPr="007E31B2">
        <w:t xml:space="preserve"> </w:t>
      </w:r>
    </w:p>
    <w:p w14:paraId="3C41A854" w14:textId="77777777" w:rsidR="00326CE0" w:rsidRDefault="00326CE0" w:rsidP="00D40130">
      <w:pPr>
        <w:pStyle w:val="FSBullet1"/>
        <w:numPr>
          <w:ilvl w:val="0"/>
          <w:numId w:val="6"/>
        </w:numPr>
        <w:spacing w:before="120" w:after="120"/>
      </w:pPr>
      <w:r>
        <w:t>s</w:t>
      </w:r>
      <w:r w:rsidRPr="007E31B2">
        <w:t>ugar</w:t>
      </w:r>
      <w:r>
        <w:t>s; or</w:t>
      </w:r>
      <w:r w:rsidRPr="007E31B2">
        <w:t xml:space="preserve"> </w:t>
      </w:r>
    </w:p>
    <w:p w14:paraId="5B6D42A4" w14:textId="5C9F541F" w:rsidR="00326CE0" w:rsidRPr="00411020" w:rsidRDefault="00326CE0" w:rsidP="00D40130">
      <w:pPr>
        <w:pStyle w:val="FSBullet1"/>
        <w:numPr>
          <w:ilvl w:val="0"/>
          <w:numId w:val="6"/>
        </w:numPr>
        <w:spacing w:before="120" w:after="120"/>
      </w:pPr>
      <w:r w:rsidRPr="007E31B2">
        <w:t>any other type of carboh</w:t>
      </w:r>
      <w:r>
        <w:t>ydrate (subsection 1.2.8—6(5)).</w:t>
      </w:r>
    </w:p>
    <w:p w14:paraId="39E71D32" w14:textId="618918E5" w:rsidR="00326CE0" w:rsidRPr="004D60AC" w:rsidRDefault="00326CE0" w:rsidP="003648E6">
      <w:pPr>
        <w:widowControl/>
        <w:spacing w:before="120" w:after="120"/>
        <w:rPr>
          <w:rFonts w:cs="Arial"/>
          <w:szCs w:val="22"/>
        </w:rPr>
      </w:pPr>
      <w:r w:rsidRPr="007E31B2">
        <w:rPr>
          <w:rFonts w:cs="Arial"/>
          <w:szCs w:val="22"/>
        </w:rPr>
        <w:t xml:space="preserve">This declaration must be made in accordance with the </w:t>
      </w:r>
      <w:r>
        <w:rPr>
          <w:rFonts w:cs="Arial"/>
          <w:szCs w:val="22"/>
        </w:rPr>
        <w:t xml:space="preserve">relevant </w:t>
      </w:r>
      <w:r w:rsidRPr="007E31B2">
        <w:rPr>
          <w:rFonts w:cs="Arial"/>
          <w:szCs w:val="22"/>
        </w:rPr>
        <w:t xml:space="preserve">prescribed format for the </w:t>
      </w:r>
      <w:r>
        <w:rPr>
          <w:rFonts w:cs="Arial"/>
          <w:szCs w:val="22"/>
        </w:rPr>
        <w:t>NIP</w:t>
      </w:r>
      <w:r w:rsidRPr="007E31B2">
        <w:rPr>
          <w:rFonts w:cs="Arial"/>
          <w:szCs w:val="22"/>
        </w:rPr>
        <w:t>. The format allows for the declaration of any sub-group nutrient of dietary fibre indented below the heading ‘Dietary</w:t>
      </w:r>
      <w:r>
        <w:rPr>
          <w:rFonts w:cs="Arial"/>
          <w:szCs w:val="22"/>
        </w:rPr>
        <w:t xml:space="preserve"> fibre, total’ (section S12—3).</w:t>
      </w:r>
    </w:p>
    <w:p w14:paraId="7257CCC5" w14:textId="11C798CF" w:rsidR="00326CE0" w:rsidRDefault="00326CE0" w:rsidP="003648E6">
      <w:pPr>
        <w:widowControl/>
        <w:spacing w:before="120" w:after="120"/>
        <w:rPr>
          <w:rFonts w:cs="Arial"/>
          <w:szCs w:val="22"/>
        </w:rPr>
      </w:pPr>
      <w:r w:rsidRPr="004D60AC">
        <w:rPr>
          <w:rFonts w:cs="Arial"/>
          <w:szCs w:val="22"/>
        </w:rPr>
        <w:t>Conditions for making nutrition content and health claims are in Standard 1.2.7 and Schedule</w:t>
      </w:r>
      <w:r w:rsidR="000613A2">
        <w:rPr>
          <w:rFonts w:cs="Arial"/>
          <w:szCs w:val="22"/>
        </w:rPr>
        <w:t xml:space="preserve"> </w:t>
      </w:r>
      <w:r w:rsidRPr="004D60AC">
        <w:rPr>
          <w:rFonts w:cs="Arial"/>
          <w:szCs w:val="22"/>
        </w:rPr>
        <w:t>4.</w:t>
      </w:r>
      <w:r>
        <w:rPr>
          <w:rFonts w:cs="Arial"/>
          <w:szCs w:val="22"/>
        </w:rPr>
        <w:t xml:space="preserve"> Schedule 4 sets out the amount of dietary fibre a food must contain to make a nutrition content claim about dietary fibre, for example, a food with a ‘contains dietary fibre’ claim must contain at least 2g of dietary fibre per serving of the food.</w:t>
      </w:r>
    </w:p>
    <w:p w14:paraId="3F03D1E0" w14:textId="678961E4" w:rsidR="00326CE0" w:rsidRPr="004D60AC" w:rsidRDefault="00326CE0" w:rsidP="003648E6">
      <w:pPr>
        <w:widowControl/>
        <w:spacing w:before="120" w:after="120"/>
        <w:rPr>
          <w:rFonts w:cs="Arial"/>
          <w:szCs w:val="22"/>
        </w:rPr>
      </w:pPr>
      <w:r>
        <w:rPr>
          <w:rFonts w:cs="Arial"/>
          <w:szCs w:val="22"/>
        </w:rPr>
        <w:t>Schedule 4 also sets out the health claims that are permitted to be made about foods, subject to meeting specified conditions. In relation to dietary fibre or specifically named dietary fibres, a general level health claim may be made for dietary fibre (</w:t>
      </w:r>
      <w:r w:rsidR="00A7698B">
        <w:rPr>
          <w:rFonts w:cs="Arial"/>
          <w:szCs w:val="22"/>
        </w:rPr>
        <w:t xml:space="preserve">i.e. </w:t>
      </w:r>
      <w:r>
        <w:rPr>
          <w:rFonts w:cs="Arial"/>
          <w:szCs w:val="22"/>
        </w:rPr>
        <w:t>contributes to regular laxation)</w:t>
      </w:r>
      <w:r w:rsidR="00D95BFA">
        <w:rPr>
          <w:rFonts w:cs="Arial"/>
          <w:szCs w:val="22"/>
        </w:rPr>
        <w:t>;</w:t>
      </w:r>
      <w:r>
        <w:rPr>
          <w:rFonts w:cs="Arial"/>
          <w:szCs w:val="22"/>
        </w:rPr>
        <w:t xml:space="preserve"> and a high level health claim and general level health claim are permitted </w:t>
      </w:r>
      <w:r>
        <w:rPr>
          <w:rFonts w:cs="Arial"/>
          <w:szCs w:val="22"/>
        </w:rPr>
        <w:lastRenderedPageBreak/>
        <w:t>for beta-glucan, a specifically named dietary fibre (</w:t>
      </w:r>
      <w:r w:rsidR="00A7698B">
        <w:rPr>
          <w:rFonts w:cs="Arial"/>
          <w:szCs w:val="22"/>
        </w:rPr>
        <w:t xml:space="preserve">i.e. </w:t>
      </w:r>
      <w:r>
        <w:rPr>
          <w:rFonts w:cs="Arial"/>
          <w:szCs w:val="22"/>
        </w:rPr>
        <w:t>reduces blood cholesterol and reduces dietary and biliary choleste</w:t>
      </w:r>
      <w:r w:rsidR="00A7698B">
        <w:rPr>
          <w:rFonts w:cs="Arial"/>
          <w:szCs w:val="22"/>
        </w:rPr>
        <w:t>rol absorption, respectively).</w:t>
      </w:r>
    </w:p>
    <w:p w14:paraId="109741E3" w14:textId="2CBC1387" w:rsidR="00326CE0" w:rsidRPr="00BD14D7" w:rsidRDefault="00326CE0" w:rsidP="00411020">
      <w:r>
        <w:t xml:space="preserve">Foods carrying health claims must </w:t>
      </w:r>
      <w:r w:rsidRPr="004D60AC">
        <w:t>meet the NPSC (</w:t>
      </w:r>
      <w:r>
        <w:t>paragraph 1.2.7—18(1)(a)</w:t>
      </w:r>
      <w:r w:rsidRPr="004D60AC">
        <w:t>)</w:t>
      </w:r>
      <w:r>
        <w:t xml:space="preserve">. </w:t>
      </w:r>
      <w:r w:rsidRPr="00395171">
        <w:t>Breakfast cereal must also meet the NPSC in order to contain vitamin D</w:t>
      </w:r>
      <w:r>
        <w:t xml:space="preserve"> that has been added as a nutritive substance (see section 1.3.2—6).</w:t>
      </w:r>
      <w:r w:rsidRPr="00395171">
        <w:t xml:space="preserve"> </w:t>
      </w:r>
      <w:r w:rsidRPr="004D60AC">
        <w:t>Determination of the dietary fibre content in accordance with section S11—4 is required to calculate F points for the purpose of determining if a food meets the NPSC</w:t>
      </w:r>
      <w:r>
        <w:t xml:space="preserve"> (section S5—6). </w:t>
      </w:r>
      <w:r w:rsidRPr="004D60AC">
        <w:t xml:space="preserve">If </w:t>
      </w:r>
      <w:r>
        <w:t>F</w:t>
      </w:r>
      <w:r w:rsidRPr="004D60AC">
        <w:t xml:space="preserve"> points are relied on for a food to meet the NPSC, the dietary fibre must be declared in the </w:t>
      </w:r>
      <w:r>
        <w:t>NIP</w:t>
      </w:r>
      <w:r w:rsidRPr="004D60AC">
        <w:t xml:space="preserve"> (</w:t>
      </w:r>
      <w:r>
        <w:t xml:space="preserve">see </w:t>
      </w:r>
      <w:r w:rsidRPr="004D60AC">
        <w:t>section</w:t>
      </w:r>
      <w:r>
        <w:t>s</w:t>
      </w:r>
      <w:r w:rsidRPr="004D60AC">
        <w:t xml:space="preserve"> 1.2.7—26 and 1.3.2</w:t>
      </w:r>
      <w:r w:rsidR="00DD72D6">
        <w:t>—</w:t>
      </w:r>
      <w:r w:rsidRPr="004D60AC">
        <w:t>7).</w:t>
      </w:r>
    </w:p>
    <w:p w14:paraId="2DC3EDBB" w14:textId="0AEB48A2" w:rsidR="00876783" w:rsidRPr="003659D0" w:rsidRDefault="00876783" w:rsidP="00D40130">
      <w:pPr>
        <w:pStyle w:val="Heading2"/>
        <w:numPr>
          <w:ilvl w:val="1"/>
          <w:numId w:val="23"/>
        </w:numPr>
      </w:pPr>
      <w:bookmarkStart w:id="39" w:name="_Toc67321502"/>
      <w:bookmarkStart w:id="40" w:name="_Toc69987908"/>
      <w:bookmarkStart w:id="41" w:name="_Toc70002630"/>
      <w:bookmarkStart w:id="42" w:name="_Ref73604049"/>
      <w:bookmarkStart w:id="43" w:name="_Ref73604109"/>
      <w:bookmarkStart w:id="44" w:name="_Toc86240822"/>
      <w:bookmarkEnd w:id="38"/>
      <w:r w:rsidRPr="003659D0">
        <w:t xml:space="preserve">International </w:t>
      </w:r>
      <w:r>
        <w:t>standards</w:t>
      </w:r>
      <w:bookmarkEnd w:id="39"/>
      <w:bookmarkEnd w:id="40"/>
      <w:bookmarkEnd w:id="41"/>
      <w:bookmarkEnd w:id="42"/>
      <w:bookmarkEnd w:id="43"/>
      <w:bookmarkEnd w:id="44"/>
    </w:p>
    <w:p w14:paraId="5083ECA2" w14:textId="684B941C" w:rsidR="00876783" w:rsidRPr="003659D0" w:rsidRDefault="00876783" w:rsidP="003648E6">
      <w:pPr>
        <w:widowControl/>
        <w:spacing w:before="120" w:after="120"/>
        <w:rPr>
          <w:rFonts w:cs="Arial"/>
          <w:szCs w:val="22"/>
          <w:lang w:eastAsia="en-AU" w:bidi="ar-SA"/>
        </w:rPr>
      </w:pPr>
      <w:r>
        <w:rPr>
          <w:rFonts w:cs="Arial"/>
          <w:szCs w:val="22"/>
          <w:lang w:eastAsia="en-AU" w:bidi="ar-SA"/>
        </w:rPr>
        <w:t xml:space="preserve">Codex revised its definition of dietary fibre and reviewed the range of methods of dietary fibre analysis in 2009 (Codex 2009). </w:t>
      </w:r>
      <w:r>
        <w:rPr>
          <w:rFonts w:cs="Arial"/>
        </w:rPr>
        <w:t xml:space="preserve">Regulatory definitions of dietary fibre </w:t>
      </w:r>
      <w:r w:rsidRPr="004D60AC">
        <w:rPr>
          <w:rFonts w:cs="Arial"/>
          <w:szCs w:val="22"/>
          <w:lang w:eastAsia="en-AU" w:bidi="ar-SA"/>
        </w:rPr>
        <w:t xml:space="preserve">vary </w:t>
      </w:r>
      <w:r>
        <w:rPr>
          <w:rFonts w:cs="Arial"/>
          <w:szCs w:val="22"/>
          <w:lang w:eastAsia="en-AU" w:bidi="ar-SA"/>
        </w:rPr>
        <w:t xml:space="preserve">between countries and have </w:t>
      </w:r>
      <w:r>
        <w:rPr>
          <w:rFonts w:cs="Arial"/>
        </w:rPr>
        <w:t>evolved over time with greater understanding of the composition of foods and the development of methods of analysis that can measure more complex food matrices (Jones 2013; McCleary et al. 2010;</w:t>
      </w:r>
      <w:r w:rsidR="00926798">
        <w:rPr>
          <w:rFonts w:cs="Arial"/>
        </w:rPr>
        <w:t xml:space="preserve"> </w:t>
      </w:r>
      <w:r>
        <w:rPr>
          <w:rFonts w:cs="Arial"/>
        </w:rPr>
        <w:t xml:space="preserve">McCleary et al. 2012; Philips 2013; Stephen et al. 2017). </w:t>
      </w:r>
      <w:r>
        <w:rPr>
          <w:rFonts w:cs="Arial"/>
          <w:szCs w:val="22"/>
          <w:lang w:eastAsia="en-AU" w:bidi="ar-SA"/>
        </w:rPr>
        <w:t xml:space="preserve">Below we have considered </w:t>
      </w:r>
      <w:r w:rsidRPr="004D60AC">
        <w:rPr>
          <w:rFonts w:cs="Arial"/>
          <w:szCs w:val="22"/>
          <w:lang w:eastAsia="en-AU" w:bidi="ar-SA"/>
        </w:rPr>
        <w:t>dietary fibre definitions</w:t>
      </w:r>
      <w:r>
        <w:rPr>
          <w:rFonts w:cs="Arial"/>
          <w:szCs w:val="22"/>
          <w:lang w:eastAsia="en-AU" w:bidi="ar-SA"/>
        </w:rPr>
        <w:t xml:space="preserve">, and methods of analysis accepted by Codex and generally comparable countries to Australia and New Zealand such as the United States (US) and Canada, and the European Union (EU). </w:t>
      </w:r>
    </w:p>
    <w:p w14:paraId="05365753" w14:textId="2E0A97E1" w:rsidR="001B50A0" w:rsidRDefault="001B50A0" w:rsidP="00D40130">
      <w:pPr>
        <w:pStyle w:val="Heading3"/>
        <w:numPr>
          <w:ilvl w:val="2"/>
          <w:numId w:val="23"/>
        </w:numPr>
      </w:pPr>
      <w:bookmarkStart w:id="45" w:name="_Toc86240823"/>
      <w:r>
        <w:t>Codex</w:t>
      </w:r>
      <w:bookmarkEnd w:id="45"/>
    </w:p>
    <w:p w14:paraId="2D480C0C" w14:textId="530F18C6" w:rsidR="00876783" w:rsidRDefault="00876783" w:rsidP="003648E6">
      <w:pPr>
        <w:widowControl/>
        <w:spacing w:before="120" w:after="120"/>
        <w:rPr>
          <w:szCs w:val="22"/>
        </w:rPr>
      </w:pPr>
      <w:r w:rsidRPr="004D60AC">
        <w:rPr>
          <w:rFonts w:cs="Arial"/>
          <w:color w:val="000000"/>
          <w:szCs w:val="22"/>
        </w:rPr>
        <w:t xml:space="preserve">A </w:t>
      </w:r>
      <w:r>
        <w:rPr>
          <w:rFonts w:cs="Arial"/>
          <w:color w:val="000000"/>
          <w:szCs w:val="22"/>
        </w:rPr>
        <w:t>revised</w:t>
      </w:r>
      <w:r w:rsidRPr="004D60AC">
        <w:rPr>
          <w:rFonts w:cs="Arial"/>
          <w:color w:val="000000"/>
          <w:szCs w:val="22"/>
        </w:rPr>
        <w:t xml:space="preserve"> Codex Alimentarius definition was </w:t>
      </w:r>
      <w:r>
        <w:rPr>
          <w:rFonts w:cs="Arial"/>
          <w:color w:val="000000"/>
          <w:szCs w:val="22"/>
        </w:rPr>
        <w:t xml:space="preserve">first </w:t>
      </w:r>
      <w:r w:rsidRPr="004D60AC">
        <w:rPr>
          <w:rFonts w:cs="Arial"/>
          <w:color w:val="000000"/>
          <w:szCs w:val="22"/>
        </w:rPr>
        <w:t>published in 2009</w:t>
      </w:r>
      <w:r>
        <w:rPr>
          <w:rFonts w:cs="Arial"/>
          <w:color w:val="000000"/>
          <w:szCs w:val="22"/>
        </w:rPr>
        <w:t>.</w:t>
      </w:r>
      <w:r w:rsidR="005575C7">
        <w:rPr>
          <w:rFonts w:cs="Arial"/>
          <w:color w:val="000000"/>
          <w:szCs w:val="22"/>
        </w:rPr>
        <w:t xml:space="preserve"> </w:t>
      </w:r>
      <w:r>
        <w:rPr>
          <w:rFonts w:cs="Arial"/>
          <w:color w:val="000000"/>
          <w:szCs w:val="22"/>
        </w:rPr>
        <w:t xml:space="preserve">The </w:t>
      </w:r>
      <w:r>
        <w:t>General Guidelines on Nutrition Labelling (Codex 2017) current</w:t>
      </w:r>
      <w:r w:rsidR="005575C7">
        <w:t>ly</w:t>
      </w:r>
      <w:r>
        <w:t xml:space="preserve"> defines dietary fibre as</w:t>
      </w:r>
      <w:r w:rsidRPr="004D60AC">
        <w:rPr>
          <w:rFonts w:cs="Arial"/>
          <w:color w:val="000000"/>
          <w:szCs w:val="22"/>
        </w:rPr>
        <w:t>:</w:t>
      </w:r>
    </w:p>
    <w:tbl>
      <w:tblPr>
        <w:tblStyle w:val="TableGrid"/>
        <w:tblW w:w="0" w:type="auto"/>
        <w:tblLook w:val="04A0" w:firstRow="1" w:lastRow="0" w:firstColumn="1" w:lastColumn="0" w:noHBand="0" w:noVBand="1"/>
        <w:tblDescription w:val="Codex dietary fibre definition"/>
      </w:tblPr>
      <w:tblGrid>
        <w:gridCol w:w="9060"/>
      </w:tblGrid>
      <w:tr w:rsidR="00876783" w14:paraId="7F43B87D" w14:textId="77777777" w:rsidTr="0051363F">
        <w:tc>
          <w:tcPr>
            <w:tcW w:w="9060" w:type="dxa"/>
          </w:tcPr>
          <w:p w14:paraId="400306B2" w14:textId="77777777" w:rsidR="00876783" w:rsidRPr="001037F2" w:rsidRDefault="00876783" w:rsidP="003648E6">
            <w:pPr>
              <w:widowControl/>
              <w:spacing w:before="120" w:after="120"/>
              <w:rPr>
                <w:szCs w:val="22"/>
              </w:rPr>
            </w:pPr>
            <w:r w:rsidRPr="001037F2">
              <w:rPr>
                <w:b/>
                <w:bCs/>
                <w:i/>
                <w:iCs/>
                <w:szCs w:val="22"/>
              </w:rPr>
              <w:t xml:space="preserve">Dietary fibre </w:t>
            </w:r>
            <w:r w:rsidRPr="001037F2">
              <w:rPr>
                <w:szCs w:val="22"/>
              </w:rPr>
              <w:t>means carbohydrate polymers</w:t>
            </w:r>
            <w:r w:rsidRPr="001037F2">
              <w:rPr>
                <w:szCs w:val="22"/>
                <w:vertAlign w:val="superscript"/>
              </w:rPr>
              <w:t>2</w:t>
            </w:r>
            <w:r w:rsidRPr="001037F2">
              <w:rPr>
                <w:szCs w:val="22"/>
              </w:rPr>
              <w:t xml:space="preserve"> with ten or more monomeric units</w:t>
            </w:r>
            <w:r w:rsidRPr="001037F2">
              <w:rPr>
                <w:szCs w:val="22"/>
                <w:vertAlign w:val="superscript"/>
              </w:rPr>
              <w:t>3</w:t>
            </w:r>
            <w:r w:rsidRPr="001037F2">
              <w:rPr>
                <w:szCs w:val="22"/>
              </w:rPr>
              <w:t xml:space="preserve">, which are not hydrolysed by the endogenous enzymes in the small intestine of humans and belong to the following categories: </w:t>
            </w:r>
          </w:p>
          <w:p w14:paraId="4F24A870" w14:textId="77777777" w:rsidR="00876783" w:rsidRPr="007D143A" w:rsidRDefault="00876783" w:rsidP="00D40130">
            <w:pPr>
              <w:pStyle w:val="Default"/>
              <w:numPr>
                <w:ilvl w:val="0"/>
                <w:numId w:val="8"/>
              </w:numPr>
              <w:spacing w:before="120" w:after="120"/>
              <w:ind w:left="360"/>
              <w:rPr>
                <w:rFonts w:ascii="Arial" w:hAnsi="Arial" w:cs="Arial"/>
                <w:sz w:val="22"/>
                <w:szCs w:val="22"/>
              </w:rPr>
            </w:pPr>
            <w:r w:rsidRPr="007D143A">
              <w:rPr>
                <w:rFonts w:ascii="Arial" w:hAnsi="Arial" w:cs="Arial"/>
                <w:sz w:val="22"/>
                <w:szCs w:val="22"/>
              </w:rPr>
              <w:t xml:space="preserve">Edible carbohydrate polymers naturally occurring in the food as consumed, </w:t>
            </w:r>
          </w:p>
          <w:p w14:paraId="4C5EBF5B" w14:textId="77777777" w:rsidR="00876783" w:rsidRPr="007D143A" w:rsidRDefault="00876783" w:rsidP="00D40130">
            <w:pPr>
              <w:pStyle w:val="Default"/>
              <w:numPr>
                <w:ilvl w:val="0"/>
                <w:numId w:val="8"/>
              </w:numPr>
              <w:spacing w:before="120" w:after="120"/>
              <w:ind w:left="360"/>
              <w:rPr>
                <w:rFonts w:ascii="Arial" w:hAnsi="Arial" w:cs="Arial"/>
                <w:sz w:val="22"/>
                <w:szCs w:val="22"/>
              </w:rPr>
            </w:pPr>
            <w:r w:rsidRPr="007D143A">
              <w:rPr>
                <w:rFonts w:ascii="Arial" w:hAnsi="Arial" w:cs="Arial"/>
                <w:sz w:val="22"/>
                <w:szCs w:val="22"/>
              </w:rPr>
              <w:t xml:space="preserve">Carbohydrate polymers, which have been obtained from food raw material by physical, enzymatic or chemical means and which have been shown to have a physiological effect of benefit to health as demonstrated by generally accepted scientific evidence to competent authorities, </w:t>
            </w:r>
          </w:p>
          <w:p w14:paraId="69DFEAC3" w14:textId="77777777" w:rsidR="00876783" w:rsidRPr="007D143A" w:rsidRDefault="00876783" w:rsidP="00D40130">
            <w:pPr>
              <w:pStyle w:val="Default"/>
              <w:numPr>
                <w:ilvl w:val="0"/>
                <w:numId w:val="8"/>
              </w:numPr>
              <w:spacing w:before="120" w:after="120"/>
              <w:ind w:left="360"/>
              <w:rPr>
                <w:rFonts w:ascii="Arial" w:hAnsi="Arial" w:cs="Arial"/>
                <w:sz w:val="22"/>
                <w:szCs w:val="22"/>
              </w:rPr>
            </w:pPr>
            <w:r w:rsidRPr="007D143A">
              <w:rPr>
                <w:rFonts w:ascii="Arial" w:hAnsi="Arial" w:cs="Arial"/>
                <w:sz w:val="22"/>
                <w:szCs w:val="22"/>
              </w:rPr>
              <w:t xml:space="preserve">Synthetic carbohydrate polymers which have been shown to have a physiological effect of benefit to health as demonstrated by generally accepted scientific evidence to competent authorities. </w:t>
            </w:r>
          </w:p>
          <w:p w14:paraId="4E3E1979" w14:textId="77777777" w:rsidR="00876783" w:rsidRPr="007D143A" w:rsidRDefault="00876783" w:rsidP="003648E6">
            <w:pPr>
              <w:pStyle w:val="Default"/>
              <w:spacing w:before="120" w:after="120"/>
              <w:rPr>
                <w:rFonts w:ascii="Arial" w:hAnsi="Arial" w:cs="Arial"/>
                <w:sz w:val="20"/>
                <w:szCs w:val="22"/>
              </w:rPr>
            </w:pPr>
            <w:r w:rsidRPr="007D143A">
              <w:rPr>
                <w:rFonts w:ascii="Arial" w:hAnsi="Arial" w:cs="Arial"/>
                <w:sz w:val="20"/>
                <w:szCs w:val="22"/>
                <w:vertAlign w:val="superscript"/>
              </w:rPr>
              <w:t>2</w:t>
            </w:r>
            <w:r w:rsidRPr="007D143A">
              <w:rPr>
                <w:rFonts w:ascii="Arial" w:hAnsi="Arial" w:cs="Arial"/>
                <w:sz w:val="20"/>
                <w:szCs w:val="22"/>
              </w:rPr>
              <w:t xml:space="preserve"> </w:t>
            </w:r>
            <w:r w:rsidRPr="00ED4E5E">
              <w:rPr>
                <w:rFonts w:ascii="Arial" w:hAnsi="Arial" w:cs="Arial"/>
                <w:sz w:val="16"/>
                <w:szCs w:val="22"/>
              </w:rPr>
              <w:t xml:space="preserve">When derived from a plant origin, dietary fibre may include fractions of lignin and/or other compounds associated with polysaccharides in the plant cell walls. These compounds also may be measured by certain analytical method(s) for dietary fibre. However, such compounds are not included in the definition of dietary fibre if extracted and re-introduced into a food. </w:t>
            </w:r>
          </w:p>
          <w:p w14:paraId="3F64209B" w14:textId="77777777" w:rsidR="00876783" w:rsidRPr="004E1CCF" w:rsidRDefault="00876783" w:rsidP="003648E6">
            <w:pPr>
              <w:widowControl/>
              <w:spacing w:before="120" w:after="120"/>
              <w:rPr>
                <w:sz w:val="28"/>
              </w:rPr>
            </w:pPr>
            <w:r w:rsidRPr="005575C7">
              <w:rPr>
                <w:rFonts w:cs="Arial"/>
                <w:sz w:val="20"/>
                <w:szCs w:val="22"/>
                <w:vertAlign w:val="superscript"/>
              </w:rPr>
              <w:t>3</w:t>
            </w:r>
            <w:r w:rsidRPr="005575C7">
              <w:rPr>
                <w:rFonts w:cs="Arial"/>
                <w:sz w:val="20"/>
                <w:szCs w:val="22"/>
              </w:rPr>
              <w:t xml:space="preserve"> </w:t>
            </w:r>
            <w:r w:rsidRPr="00ED4E5E">
              <w:rPr>
                <w:rFonts w:cs="Arial"/>
                <w:sz w:val="16"/>
                <w:szCs w:val="22"/>
              </w:rPr>
              <w:t>Decision on whether to include carbohydrates from 3 to 9 monomeric units should be left to national authorities.</w:t>
            </w:r>
          </w:p>
        </w:tc>
      </w:tr>
    </w:tbl>
    <w:p w14:paraId="64099FF9" w14:textId="74B964C2" w:rsidR="00876783" w:rsidRDefault="00876783" w:rsidP="003648E6">
      <w:pPr>
        <w:spacing w:before="120" w:after="120"/>
      </w:pPr>
      <w:r>
        <w:rPr>
          <w:rFonts w:cs="Arial"/>
          <w:szCs w:val="22"/>
          <w:lang w:eastAsia="en-AU" w:bidi="ar-SA"/>
        </w:rPr>
        <w:t xml:space="preserve">The </w:t>
      </w:r>
      <w:r w:rsidR="00A7698B">
        <w:rPr>
          <w:rFonts w:cs="Arial"/>
          <w:szCs w:val="22"/>
          <w:lang w:eastAsia="en-AU" w:bidi="ar-SA"/>
        </w:rPr>
        <w:t>comprehensive</w:t>
      </w:r>
      <w:r>
        <w:rPr>
          <w:rFonts w:cs="Arial"/>
          <w:szCs w:val="22"/>
          <w:lang w:eastAsia="en-AU" w:bidi="ar-SA"/>
        </w:rPr>
        <w:t xml:space="preserve"> list of countries that </w:t>
      </w:r>
      <w:r>
        <w:t>include monomeric units 3</w:t>
      </w:r>
      <w:r w:rsidR="005575C7">
        <w:t>–</w:t>
      </w:r>
      <w:r w:rsidR="00A7698B">
        <w:t>9 in their definition has</w:t>
      </w:r>
      <w:r>
        <w:t xml:space="preserve"> </w:t>
      </w:r>
      <w:r w:rsidR="00A7698B">
        <w:t>not been identified</w:t>
      </w:r>
      <w:r>
        <w:t xml:space="preserve"> in the literature</w:t>
      </w:r>
      <w:r>
        <w:rPr>
          <w:rFonts w:cs="Arial"/>
          <w:szCs w:val="22"/>
          <w:lang w:eastAsia="en-AU" w:bidi="ar-SA"/>
        </w:rPr>
        <w:t xml:space="preserve"> (Jones 2014; Stephen et al. 2017)</w:t>
      </w:r>
      <w:r w:rsidR="005575C7">
        <w:rPr>
          <w:rFonts w:cs="Arial"/>
          <w:szCs w:val="22"/>
          <w:lang w:eastAsia="en-AU" w:bidi="ar-SA"/>
        </w:rPr>
        <w:t>. H</w:t>
      </w:r>
      <w:r>
        <w:rPr>
          <w:rFonts w:cs="Arial"/>
          <w:szCs w:val="22"/>
          <w:lang w:eastAsia="en-AU" w:bidi="ar-SA"/>
        </w:rPr>
        <w:t>owever</w:t>
      </w:r>
      <w:r w:rsidR="005575C7">
        <w:rPr>
          <w:rFonts w:cs="Arial"/>
          <w:szCs w:val="22"/>
          <w:lang w:eastAsia="en-AU" w:bidi="ar-SA"/>
        </w:rPr>
        <w:t>,</w:t>
      </w:r>
      <w:r>
        <w:rPr>
          <w:rFonts w:cs="Arial"/>
          <w:szCs w:val="22"/>
          <w:lang w:eastAsia="en-AU" w:bidi="ar-SA"/>
        </w:rPr>
        <w:t xml:space="preserve"> </w:t>
      </w:r>
      <w:r w:rsidR="006B2BAB">
        <w:rPr>
          <w:rFonts w:cs="Arial"/>
          <w:szCs w:val="22"/>
          <w:lang w:eastAsia="en-AU" w:bidi="ar-SA"/>
        </w:rPr>
        <w:t>based on available information,</w:t>
      </w:r>
      <w:r>
        <w:rPr>
          <w:rFonts w:cs="Arial"/>
          <w:szCs w:val="22"/>
          <w:lang w:eastAsia="en-AU" w:bidi="ar-SA"/>
        </w:rPr>
        <w:t xml:space="preserve"> in addition to Australia and New Zealand, the US, Canada, the EU, </w:t>
      </w:r>
      <w:r>
        <w:t>China, Chile (for labelling but not for health claims), Japan and Korea all accept 3</w:t>
      </w:r>
      <w:r w:rsidR="005575C7">
        <w:t>–</w:t>
      </w:r>
      <w:r>
        <w:t>9 monomeric units as dietary fibre.</w:t>
      </w:r>
    </w:p>
    <w:p w14:paraId="39D99C1A" w14:textId="0C7CD0F8" w:rsidR="00876783" w:rsidRDefault="00A7698B" w:rsidP="003648E6">
      <w:pPr>
        <w:spacing w:before="120" w:after="120"/>
        <w:rPr>
          <w:rFonts w:cs="Arial"/>
          <w:szCs w:val="22"/>
          <w:lang w:eastAsia="en-AU" w:bidi="ar-SA"/>
        </w:rPr>
      </w:pPr>
      <w:r>
        <w:t>The acceptable</w:t>
      </w:r>
      <w:r w:rsidR="00876783">
        <w:t xml:space="preserve"> physiological effect</w:t>
      </w:r>
      <w:r>
        <w:t>s of benefit to health for dietary fibre (called</w:t>
      </w:r>
      <w:r w:rsidR="00876783">
        <w:t xml:space="preserve"> beneficial physiological effect</w:t>
      </w:r>
      <w:r>
        <w:t>s</w:t>
      </w:r>
      <w:r w:rsidR="00876783" w:rsidRPr="007019BC">
        <w:t xml:space="preserve"> </w:t>
      </w:r>
      <w:r w:rsidR="00876783">
        <w:t xml:space="preserve">in the Code) </w:t>
      </w:r>
      <w:r>
        <w:t>are not set by Codex, and it is therefore not surprising these can vary from country to country.</w:t>
      </w:r>
    </w:p>
    <w:p w14:paraId="142BD031" w14:textId="77777777" w:rsidR="00EE2F01" w:rsidRDefault="00EE2F01" w:rsidP="001B50A0">
      <w:pPr>
        <w:rPr>
          <w:b/>
          <w:i/>
        </w:rPr>
      </w:pPr>
    </w:p>
    <w:p w14:paraId="6C46771F" w14:textId="2E768728" w:rsidR="00876783" w:rsidRPr="001B50A0" w:rsidRDefault="00876783" w:rsidP="001B50A0">
      <w:pPr>
        <w:rPr>
          <w:b/>
          <w:i/>
        </w:rPr>
      </w:pPr>
      <w:r w:rsidRPr="001B50A0">
        <w:rPr>
          <w:b/>
          <w:i/>
        </w:rPr>
        <w:t>Methods of analysis</w:t>
      </w:r>
    </w:p>
    <w:p w14:paraId="5E4008EA" w14:textId="582E87EF" w:rsidR="00876783" w:rsidRPr="00B970BA" w:rsidRDefault="00876783" w:rsidP="003648E6">
      <w:pPr>
        <w:spacing w:before="120" w:after="120"/>
        <w:rPr>
          <w:rFonts w:cs="Arial"/>
          <w:i/>
          <w:szCs w:val="22"/>
        </w:rPr>
      </w:pPr>
      <w:r>
        <w:rPr>
          <w:rFonts w:cs="Arial"/>
          <w:szCs w:val="22"/>
        </w:rPr>
        <w:lastRenderedPageBreak/>
        <w:t xml:space="preserve">There are currently 15 permitted </w:t>
      </w:r>
      <w:r w:rsidRPr="004D60AC">
        <w:rPr>
          <w:rFonts w:cs="Arial"/>
          <w:szCs w:val="22"/>
        </w:rPr>
        <w:t>methods of analysis for dietary fibre under</w:t>
      </w:r>
      <w:r>
        <w:rPr>
          <w:rFonts w:cs="Arial"/>
          <w:szCs w:val="22"/>
        </w:rPr>
        <w:t xml:space="preserve"> </w:t>
      </w:r>
      <w:r w:rsidRPr="000D6701">
        <w:rPr>
          <w:rFonts w:cs="Arial"/>
          <w:i/>
          <w:szCs w:val="22"/>
          <w:lang w:val="en-NZ"/>
        </w:rPr>
        <w:t>Recommended methods of analysis and sampling</w:t>
      </w:r>
      <w:r>
        <w:rPr>
          <w:rFonts w:cs="Arial"/>
          <w:szCs w:val="22"/>
        </w:rPr>
        <w:t xml:space="preserve"> (Codex 1999)</w:t>
      </w:r>
      <w:r>
        <w:rPr>
          <w:rFonts w:cs="Arial"/>
          <w:i/>
          <w:szCs w:val="22"/>
          <w:lang w:val="en-NZ"/>
        </w:rPr>
        <w:t>.</w:t>
      </w:r>
    </w:p>
    <w:p w14:paraId="59A2DC10" w14:textId="12CEBCFC" w:rsidR="00876783" w:rsidRDefault="00876783" w:rsidP="003648E6">
      <w:pPr>
        <w:spacing w:before="120" w:after="120"/>
        <w:rPr>
          <w:rFonts w:ascii="Noto Sans" w:hAnsi="Noto Sans" w:cs="Arial"/>
          <w:color w:val="333333"/>
          <w:lang w:val="en"/>
        </w:rPr>
      </w:pPr>
      <w:r>
        <w:t xml:space="preserve">In late 2019, </w:t>
      </w:r>
      <w:r w:rsidR="0010195C">
        <w:t xml:space="preserve">the </w:t>
      </w:r>
      <w:r w:rsidR="0010195C" w:rsidRPr="00657E36">
        <w:rPr>
          <w:szCs w:val="22"/>
        </w:rPr>
        <w:t>Codex Committee on Nutrition and Foods for Special Dietary Uses</w:t>
      </w:r>
      <w:r w:rsidR="0010195C">
        <w:rPr>
          <w:szCs w:val="22"/>
        </w:rPr>
        <w:t xml:space="preserve"> (CCNFSDU) agreed to refer</w:t>
      </w:r>
      <w:r w:rsidR="0010195C">
        <w:rPr>
          <w:rFonts w:cs="Arial"/>
          <w:bCs/>
          <w:szCs w:val="22"/>
          <w:lang w:val="en-NZ"/>
        </w:rPr>
        <w:t xml:space="preserve"> </w:t>
      </w:r>
      <w:r>
        <w:rPr>
          <w:rFonts w:cs="Arial"/>
          <w:bCs/>
          <w:szCs w:val="22"/>
          <w:lang w:val="en-NZ"/>
        </w:rPr>
        <w:t xml:space="preserve">AOAC 2017.16 </w:t>
      </w:r>
      <w:r w:rsidRPr="004D60AC">
        <w:rPr>
          <w:rFonts w:cs="Arial"/>
          <w:bCs/>
          <w:szCs w:val="22"/>
          <w:lang w:val="en-NZ"/>
        </w:rPr>
        <w:t>to the Codex Committee on Methods of Analysis and Sampling</w:t>
      </w:r>
      <w:r w:rsidR="00AF69AE">
        <w:rPr>
          <w:rFonts w:cs="Arial"/>
          <w:bCs/>
          <w:szCs w:val="22"/>
          <w:lang w:val="en-NZ"/>
        </w:rPr>
        <w:t xml:space="preserve"> (CCMAS)</w:t>
      </w:r>
      <w:r w:rsidRPr="004D60AC">
        <w:rPr>
          <w:rFonts w:cs="Arial"/>
          <w:bCs/>
          <w:szCs w:val="22"/>
          <w:lang w:val="en-NZ"/>
        </w:rPr>
        <w:t xml:space="preserve"> </w:t>
      </w:r>
      <w:r>
        <w:rPr>
          <w:rFonts w:cs="Arial"/>
          <w:bCs/>
          <w:szCs w:val="22"/>
          <w:lang w:val="en-NZ"/>
        </w:rPr>
        <w:t>for consideration</w:t>
      </w:r>
      <w:r>
        <w:t xml:space="preserve"> as a Type I method to replace AOAC 2009.01, which is the </w:t>
      </w:r>
      <w:r>
        <w:rPr>
          <w:rFonts w:cs="Arial"/>
          <w:szCs w:val="22"/>
        </w:rPr>
        <w:t xml:space="preserve">predecessor to AOAC 2017.16 </w:t>
      </w:r>
      <w:r>
        <w:t>(</w:t>
      </w:r>
      <w:r>
        <w:rPr>
          <w:rFonts w:cs="Arial"/>
          <w:szCs w:val="22"/>
        </w:rPr>
        <w:t>CCNFSDU</w:t>
      </w:r>
      <w:r>
        <w:t xml:space="preserve"> 2019; </w:t>
      </w:r>
      <w:r>
        <w:rPr>
          <w:rFonts w:cs="Arial"/>
          <w:szCs w:val="22"/>
        </w:rPr>
        <w:t>CCNFSDU</w:t>
      </w:r>
      <w:r>
        <w:t xml:space="preserve"> 2020) </w:t>
      </w:r>
      <w:r>
        <w:rPr>
          <w:rFonts w:cs="Arial"/>
          <w:szCs w:val="22"/>
        </w:rPr>
        <w:t>but is not permitted in the Code</w:t>
      </w:r>
      <w:r>
        <w:t>.</w:t>
      </w:r>
      <w:r w:rsidR="007D143A">
        <w:t xml:space="preserve"> In May 2021, </w:t>
      </w:r>
      <w:r w:rsidR="00AF69AE">
        <w:t xml:space="preserve">CCMAS supported the adoption of </w:t>
      </w:r>
      <w:r w:rsidR="007D143A">
        <w:t>AOAC 2017.16</w:t>
      </w:r>
      <w:r w:rsidR="00B970BA">
        <w:t xml:space="preserve"> in place of AOAC 2009.01 </w:t>
      </w:r>
      <w:r w:rsidR="003B326D">
        <w:t xml:space="preserve">(which picks up the same low and high molecular weight dietary fibres) </w:t>
      </w:r>
      <w:r w:rsidR="00B970BA">
        <w:t xml:space="preserve">as a Type 1 method for use </w:t>
      </w:r>
      <w:r w:rsidR="008E0070">
        <w:t xml:space="preserve">on </w:t>
      </w:r>
      <w:r w:rsidR="00B970BA">
        <w:t>all foods (</w:t>
      </w:r>
      <w:r w:rsidR="00B970BA" w:rsidRPr="00B970BA">
        <w:t>applicable for determining the content of dietary fibres of hig</w:t>
      </w:r>
      <w:r w:rsidR="00B970BA">
        <w:t xml:space="preserve">her and lower molecular weight </w:t>
      </w:r>
      <w:r w:rsidR="00B970BA" w:rsidRPr="00B970BA">
        <w:t>in food that may, or may not, contain resistant starches</w:t>
      </w:r>
      <w:r w:rsidR="00B970BA">
        <w:t>)</w:t>
      </w:r>
      <w:r w:rsidR="00AF69AE">
        <w:t xml:space="preserve">. This is an item </w:t>
      </w:r>
      <w:r w:rsidR="00EE2F01">
        <w:t xml:space="preserve">for formal adoption </w:t>
      </w:r>
      <w:r w:rsidR="00AF69AE">
        <w:t xml:space="preserve">at the </w:t>
      </w:r>
      <w:r w:rsidR="00AC2108">
        <w:t>Codex meeting CAC44 in early November 2021</w:t>
      </w:r>
      <w:r w:rsidR="00B970BA">
        <w:t xml:space="preserve"> </w:t>
      </w:r>
      <w:r w:rsidR="007D143A">
        <w:t>(</w:t>
      </w:r>
      <w:r w:rsidR="00411020">
        <w:t>CCMAS</w:t>
      </w:r>
      <w:r w:rsidR="007D143A">
        <w:t xml:space="preserve"> 2021).</w:t>
      </w:r>
    </w:p>
    <w:p w14:paraId="57E13098" w14:textId="4D725913" w:rsidR="00876783" w:rsidRDefault="00876783" w:rsidP="00D40130">
      <w:pPr>
        <w:pStyle w:val="Heading3"/>
        <w:widowControl/>
        <w:numPr>
          <w:ilvl w:val="2"/>
          <w:numId w:val="23"/>
        </w:numPr>
      </w:pPr>
      <w:bookmarkStart w:id="46" w:name="_Toc67321504"/>
      <w:bookmarkStart w:id="47" w:name="_Toc69987910"/>
      <w:bookmarkStart w:id="48" w:name="_Toc70002632"/>
      <w:bookmarkStart w:id="49" w:name="_Toc86240824"/>
      <w:r w:rsidRPr="004D60AC">
        <w:t>U</w:t>
      </w:r>
      <w:r>
        <w:t xml:space="preserve">nited </w:t>
      </w:r>
      <w:r w:rsidRPr="004D60AC">
        <w:t>S</w:t>
      </w:r>
      <w:r>
        <w:t>tates</w:t>
      </w:r>
      <w:bookmarkEnd w:id="46"/>
      <w:bookmarkEnd w:id="47"/>
      <w:bookmarkEnd w:id="48"/>
      <w:bookmarkEnd w:id="49"/>
    </w:p>
    <w:p w14:paraId="559A6AC7" w14:textId="0329EED4" w:rsidR="00876783" w:rsidRPr="004D60AC" w:rsidRDefault="00876783" w:rsidP="003648E6">
      <w:pPr>
        <w:widowControl/>
        <w:spacing w:before="120" w:after="120"/>
        <w:rPr>
          <w:rFonts w:cs="Arial"/>
          <w:szCs w:val="22"/>
          <w:lang w:val="en"/>
        </w:rPr>
      </w:pPr>
      <w:r w:rsidRPr="004D60AC">
        <w:rPr>
          <w:rFonts w:cs="Arial"/>
          <w:szCs w:val="22"/>
          <w:lang w:val="en"/>
        </w:rPr>
        <w:t xml:space="preserve">In 2016, the US </w:t>
      </w:r>
      <w:r w:rsidRPr="00DA1707">
        <w:rPr>
          <w:rFonts w:cs="Arial"/>
          <w:szCs w:val="22"/>
          <w:lang w:val="en"/>
        </w:rPr>
        <w:t>Food and Drug Administration</w:t>
      </w:r>
      <w:r w:rsidRPr="004D60AC">
        <w:rPr>
          <w:rFonts w:cs="Arial"/>
          <w:szCs w:val="22"/>
          <w:lang w:val="en"/>
        </w:rPr>
        <w:t xml:space="preserve"> </w:t>
      </w:r>
      <w:r>
        <w:rPr>
          <w:rFonts w:cs="Arial"/>
          <w:szCs w:val="22"/>
          <w:lang w:val="en"/>
        </w:rPr>
        <w:t xml:space="preserve">(US </w:t>
      </w:r>
      <w:r w:rsidRPr="004D60AC">
        <w:rPr>
          <w:rFonts w:cs="Arial"/>
          <w:szCs w:val="22"/>
          <w:lang w:val="en"/>
        </w:rPr>
        <w:t>FDA</w:t>
      </w:r>
      <w:r>
        <w:rPr>
          <w:rFonts w:cs="Arial"/>
          <w:szCs w:val="22"/>
          <w:lang w:val="en"/>
        </w:rPr>
        <w:t>)</w:t>
      </w:r>
      <w:r w:rsidRPr="004D60AC">
        <w:rPr>
          <w:rFonts w:cs="Arial"/>
          <w:szCs w:val="22"/>
          <w:lang w:val="en"/>
        </w:rPr>
        <w:t xml:space="preserve"> announced the Nutrition and Supplement Facts label </w:t>
      </w:r>
      <w:r>
        <w:rPr>
          <w:rFonts w:cs="Arial"/>
          <w:szCs w:val="22"/>
          <w:lang w:val="en"/>
        </w:rPr>
        <w:t>‘</w:t>
      </w:r>
      <w:r w:rsidRPr="004D60AC">
        <w:rPr>
          <w:rFonts w:cs="Arial"/>
          <w:szCs w:val="22"/>
          <w:lang w:val="en"/>
        </w:rPr>
        <w:t>final rule</w:t>
      </w:r>
      <w:r>
        <w:rPr>
          <w:rFonts w:cs="Arial"/>
          <w:szCs w:val="22"/>
          <w:lang w:val="en"/>
        </w:rPr>
        <w:t>’</w:t>
      </w:r>
      <w:r w:rsidR="009C0348">
        <w:rPr>
          <w:rFonts w:cs="Arial"/>
          <w:szCs w:val="22"/>
          <w:lang w:val="en"/>
        </w:rPr>
        <w:t xml:space="preserve"> (US FDA 2016)</w:t>
      </w:r>
      <w:r w:rsidRPr="004D60AC">
        <w:rPr>
          <w:rFonts w:cs="Arial"/>
          <w:szCs w:val="22"/>
          <w:lang w:val="en"/>
        </w:rPr>
        <w:t xml:space="preserve">, </w:t>
      </w:r>
      <w:r>
        <w:rPr>
          <w:rFonts w:cs="Arial"/>
          <w:szCs w:val="22"/>
          <w:lang w:val="en"/>
        </w:rPr>
        <w:t>which included a definition of dietary fibre</w:t>
      </w:r>
      <w:r w:rsidRPr="004D60AC">
        <w:rPr>
          <w:rFonts w:cs="Arial"/>
          <w:szCs w:val="22"/>
          <w:lang w:val="en"/>
        </w:rPr>
        <w:t xml:space="preserve"> and identified seven isolated or synthetic non-digestible carbohydrates</w:t>
      </w:r>
      <w:r>
        <w:rPr>
          <w:rFonts w:cs="Arial"/>
          <w:szCs w:val="22"/>
          <w:lang w:val="en"/>
        </w:rPr>
        <w:t xml:space="preserve"> </w:t>
      </w:r>
      <w:r w:rsidRPr="004D60AC">
        <w:rPr>
          <w:rFonts w:cs="Arial"/>
          <w:szCs w:val="22"/>
          <w:lang w:val="en"/>
        </w:rPr>
        <w:t>as meetin</w:t>
      </w:r>
      <w:r>
        <w:rPr>
          <w:rFonts w:cs="Arial"/>
          <w:szCs w:val="22"/>
          <w:lang w:val="en"/>
        </w:rPr>
        <w:t>g the dietary fibre definition.</w:t>
      </w:r>
    </w:p>
    <w:p w14:paraId="1FFF3B52" w14:textId="5726CE9C" w:rsidR="00876783" w:rsidRDefault="00876783" w:rsidP="003648E6">
      <w:pPr>
        <w:widowControl/>
        <w:spacing w:before="120" w:after="120"/>
        <w:rPr>
          <w:szCs w:val="22"/>
        </w:rPr>
      </w:pPr>
      <w:r w:rsidRPr="004D60AC">
        <w:rPr>
          <w:rFonts w:cs="Arial"/>
          <w:szCs w:val="22"/>
          <w:lang w:val="en"/>
        </w:rPr>
        <w:t>The US FDA defines dietary fibre as</w:t>
      </w:r>
      <w:r w:rsidR="005575C7">
        <w:rPr>
          <w:rFonts w:cs="Arial"/>
          <w:szCs w:val="22"/>
          <w:lang w:val="en"/>
        </w:rPr>
        <w:t xml:space="preserve"> follows</w:t>
      </w:r>
      <w:r w:rsidRPr="004D60AC">
        <w:rPr>
          <w:rFonts w:cs="Arial"/>
          <w:szCs w:val="22"/>
          <w:lang w:val="en"/>
        </w:rPr>
        <w:t>:</w:t>
      </w:r>
    </w:p>
    <w:tbl>
      <w:tblPr>
        <w:tblStyle w:val="TableGrid"/>
        <w:tblW w:w="0" w:type="auto"/>
        <w:tblLook w:val="04A0" w:firstRow="1" w:lastRow="0" w:firstColumn="1" w:lastColumn="0" w:noHBand="0" w:noVBand="1"/>
        <w:tblDescription w:val="US FDA dietary fibre definition"/>
      </w:tblPr>
      <w:tblGrid>
        <w:gridCol w:w="9060"/>
      </w:tblGrid>
      <w:tr w:rsidR="00876783" w14:paraId="4005AC54" w14:textId="77777777" w:rsidTr="0051363F">
        <w:tc>
          <w:tcPr>
            <w:tcW w:w="9060" w:type="dxa"/>
          </w:tcPr>
          <w:p w14:paraId="1D938944" w14:textId="77777777" w:rsidR="00876783" w:rsidRPr="001D3DEA" w:rsidRDefault="00876783" w:rsidP="003648E6">
            <w:pPr>
              <w:widowControl/>
              <w:spacing w:before="120" w:after="120"/>
              <w:rPr>
                <w:rFonts w:cs="Arial"/>
                <w:szCs w:val="22"/>
                <w:lang w:val="en"/>
              </w:rPr>
            </w:pPr>
            <w:r w:rsidRPr="00F13EAC">
              <w:rPr>
                <w:rFonts w:cs="Arial"/>
                <w:szCs w:val="22"/>
                <w:lang w:val="en"/>
              </w:rPr>
              <w:t>Dietary fiber is defined as non-digestible soluble and insoluble carbohydrates (with 3 or more monomeric units), and lignin that are intrinsic and intact in plants; isolated or synthetic non-digestible carbohydrates (with 3 or more monomeric units) determined by FDA to have physiological effects that are beneficial to human health.</w:t>
            </w:r>
            <w:r w:rsidRPr="001D3DEA">
              <w:rPr>
                <w:rFonts w:cs="Arial"/>
                <w:szCs w:val="22"/>
                <w:lang w:val="en"/>
              </w:rPr>
              <w:t xml:space="preserve"> </w:t>
            </w:r>
          </w:p>
        </w:tc>
      </w:tr>
    </w:tbl>
    <w:p w14:paraId="34B0D5F4" w14:textId="00076A75" w:rsidR="00876783" w:rsidRPr="004D60AC" w:rsidRDefault="00876783" w:rsidP="003648E6">
      <w:pPr>
        <w:widowControl/>
        <w:spacing w:before="120" w:after="120"/>
        <w:rPr>
          <w:rFonts w:cs="Arial"/>
          <w:szCs w:val="22"/>
          <w:lang w:val="en"/>
        </w:rPr>
      </w:pPr>
      <w:r w:rsidRPr="004D60AC">
        <w:rPr>
          <w:rFonts w:cs="Arial"/>
          <w:szCs w:val="22"/>
          <w:lang w:val="en"/>
        </w:rPr>
        <w:t>The following are examples</w:t>
      </w:r>
      <w:r>
        <w:rPr>
          <w:rFonts w:cs="Arial"/>
          <w:szCs w:val="22"/>
          <w:lang w:val="en"/>
        </w:rPr>
        <w:t xml:space="preserve"> (not exhaustive)</w:t>
      </w:r>
      <w:r w:rsidRPr="004D60AC">
        <w:rPr>
          <w:rFonts w:cs="Arial"/>
          <w:szCs w:val="22"/>
          <w:lang w:val="en"/>
        </w:rPr>
        <w:t xml:space="preserve"> of beneficial physiological effects </w:t>
      </w:r>
      <w:r>
        <w:rPr>
          <w:rFonts w:cs="Arial"/>
          <w:szCs w:val="22"/>
          <w:lang w:val="en"/>
        </w:rPr>
        <w:t xml:space="preserve">accepted by the </w:t>
      </w:r>
      <w:r w:rsidRPr="004D60AC">
        <w:rPr>
          <w:rFonts w:cs="Arial"/>
          <w:szCs w:val="22"/>
          <w:lang w:val="en"/>
        </w:rPr>
        <w:t xml:space="preserve">US FDA for </w:t>
      </w:r>
      <w:r>
        <w:rPr>
          <w:rFonts w:cs="Arial"/>
          <w:szCs w:val="22"/>
          <w:lang w:val="en"/>
        </w:rPr>
        <w:t xml:space="preserve">isolated or synthetic </w:t>
      </w:r>
      <w:r w:rsidRPr="004D60AC">
        <w:rPr>
          <w:rFonts w:cs="Arial"/>
          <w:szCs w:val="22"/>
          <w:lang w:val="en"/>
        </w:rPr>
        <w:t>dietary fibre</w:t>
      </w:r>
      <w:r>
        <w:rPr>
          <w:rFonts w:cs="Arial"/>
          <w:szCs w:val="22"/>
          <w:lang w:val="en"/>
        </w:rPr>
        <w:t>s</w:t>
      </w:r>
      <w:r w:rsidR="009C0348">
        <w:rPr>
          <w:rStyle w:val="FootnoteReference"/>
          <w:rFonts w:cs="Arial"/>
          <w:szCs w:val="22"/>
          <w:lang w:val="en"/>
        </w:rPr>
        <w:footnoteReference w:id="9"/>
      </w:r>
      <w:r>
        <w:rPr>
          <w:rFonts w:cs="Arial"/>
          <w:szCs w:val="22"/>
          <w:lang w:val="en"/>
        </w:rPr>
        <w:t>. One or more of the following must be met</w:t>
      </w:r>
      <w:r w:rsidRPr="004D60AC">
        <w:rPr>
          <w:rFonts w:cs="Arial"/>
          <w:szCs w:val="22"/>
          <w:lang w:val="en"/>
        </w:rPr>
        <w:t>:</w:t>
      </w:r>
    </w:p>
    <w:p w14:paraId="7F0CB765" w14:textId="77777777" w:rsidR="00876783" w:rsidRPr="00D24B52" w:rsidRDefault="00876783" w:rsidP="00D40130">
      <w:pPr>
        <w:pStyle w:val="FSBullet1"/>
        <w:numPr>
          <w:ilvl w:val="0"/>
          <w:numId w:val="9"/>
        </w:numPr>
        <w:spacing w:before="120" w:after="120"/>
        <w:rPr>
          <w:lang w:val="en"/>
        </w:rPr>
      </w:pPr>
      <w:r w:rsidRPr="00D24B52">
        <w:rPr>
          <w:lang w:val="en"/>
        </w:rPr>
        <w:t>Lowering blood glucose</w:t>
      </w:r>
    </w:p>
    <w:p w14:paraId="25E4A204" w14:textId="77777777" w:rsidR="00876783" w:rsidRPr="00D24B52" w:rsidRDefault="00876783" w:rsidP="00D40130">
      <w:pPr>
        <w:pStyle w:val="FSBullet1"/>
        <w:numPr>
          <w:ilvl w:val="0"/>
          <w:numId w:val="9"/>
        </w:numPr>
        <w:spacing w:before="120" w:after="120"/>
        <w:rPr>
          <w:lang w:val="en"/>
        </w:rPr>
      </w:pPr>
      <w:r w:rsidRPr="00D24B52">
        <w:rPr>
          <w:lang w:val="en"/>
        </w:rPr>
        <w:t>Lowering cholesterol levels</w:t>
      </w:r>
    </w:p>
    <w:p w14:paraId="4F2844E6" w14:textId="77777777" w:rsidR="00876783" w:rsidRPr="00D24B52" w:rsidRDefault="00876783" w:rsidP="00D40130">
      <w:pPr>
        <w:pStyle w:val="FSBullet1"/>
        <w:numPr>
          <w:ilvl w:val="0"/>
          <w:numId w:val="9"/>
        </w:numPr>
        <w:spacing w:before="120" w:after="120"/>
        <w:rPr>
          <w:lang w:val="en"/>
        </w:rPr>
      </w:pPr>
      <w:r w:rsidRPr="00D24B52">
        <w:rPr>
          <w:lang w:val="en"/>
        </w:rPr>
        <w:t>Lowering blood pressure</w:t>
      </w:r>
    </w:p>
    <w:p w14:paraId="56E81667" w14:textId="77777777" w:rsidR="00876783" w:rsidRPr="00D24B52" w:rsidRDefault="00876783" w:rsidP="00D40130">
      <w:pPr>
        <w:pStyle w:val="FSBullet1"/>
        <w:numPr>
          <w:ilvl w:val="0"/>
          <w:numId w:val="9"/>
        </w:numPr>
        <w:spacing w:before="120" w:after="120"/>
        <w:rPr>
          <w:lang w:val="en"/>
        </w:rPr>
      </w:pPr>
      <w:r w:rsidRPr="00D24B52">
        <w:rPr>
          <w:lang w:val="en"/>
        </w:rPr>
        <w:t>Increase in frequency of bowel movements (improved laxation)</w:t>
      </w:r>
    </w:p>
    <w:p w14:paraId="20B04802" w14:textId="77777777" w:rsidR="00876783" w:rsidRPr="00D24B52" w:rsidRDefault="00876783" w:rsidP="00D40130">
      <w:pPr>
        <w:pStyle w:val="FSBullet1"/>
        <w:numPr>
          <w:ilvl w:val="0"/>
          <w:numId w:val="9"/>
        </w:numPr>
        <w:spacing w:before="120" w:after="120"/>
        <w:rPr>
          <w:lang w:val="en"/>
        </w:rPr>
      </w:pPr>
      <w:r w:rsidRPr="00D24B52">
        <w:rPr>
          <w:lang w:val="en"/>
        </w:rPr>
        <w:t>Increased mineral absorption in the intestinal tract</w:t>
      </w:r>
    </w:p>
    <w:p w14:paraId="25C73F5B" w14:textId="77777777" w:rsidR="00876783" w:rsidRDefault="00876783" w:rsidP="00D40130">
      <w:pPr>
        <w:pStyle w:val="FSBullet1"/>
        <w:numPr>
          <w:ilvl w:val="0"/>
          <w:numId w:val="9"/>
        </w:numPr>
        <w:spacing w:before="120" w:after="120"/>
        <w:rPr>
          <w:lang w:val="en"/>
        </w:rPr>
      </w:pPr>
      <w:r w:rsidRPr="00D24B52">
        <w:rPr>
          <w:lang w:val="en"/>
        </w:rPr>
        <w:t>Reduced energy intake (for example, due to the fiber promoting a feeling of fullness).</w:t>
      </w:r>
    </w:p>
    <w:p w14:paraId="67D65C99" w14:textId="4B7FD638" w:rsidR="00876783" w:rsidRPr="001B50A0" w:rsidRDefault="00876783" w:rsidP="001B50A0">
      <w:pPr>
        <w:spacing w:before="240"/>
        <w:rPr>
          <w:b/>
          <w:i/>
        </w:rPr>
      </w:pPr>
      <w:r w:rsidRPr="001B50A0">
        <w:rPr>
          <w:b/>
          <w:i/>
        </w:rPr>
        <w:t>Methods of analysis</w:t>
      </w:r>
    </w:p>
    <w:p w14:paraId="25AB51EB" w14:textId="77777777" w:rsidR="00876783" w:rsidRPr="00D24B52" w:rsidRDefault="00876783" w:rsidP="003648E6">
      <w:pPr>
        <w:widowControl/>
        <w:spacing w:before="120" w:after="120"/>
        <w:rPr>
          <w:rFonts w:cs="Arial"/>
          <w:i/>
          <w:szCs w:val="22"/>
          <w:lang w:val="en"/>
        </w:rPr>
      </w:pPr>
      <w:r>
        <w:rPr>
          <w:rFonts w:cs="Arial"/>
          <w:szCs w:val="22"/>
          <w:lang w:val="en"/>
        </w:rPr>
        <w:t>Under their Code of Federal Regulations (</w:t>
      </w:r>
      <w:r w:rsidRPr="00892C27">
        <w:rPr>
          <w:rFonts w:cs="Arial"/>
          <w:szCs w:val="22"/>
          <w:lang w:val="en"/>
        </w:rPr>
        <w:t>21CFR101</w:t>
      </w:r>
      <w:r>
        <w:rPr>
          <w:rFonts w:cs="Arial"/>
          <w:szCs w:val="22"/>
          <w:lang w:val="en"/>
        </w:rPr>
        <w:t xml:space="preserve"> Food Labeling) (FDA 2020), the US FDA prescribes AOAC methods of analysis in some instances for dietary fibre, however indicates if no method is prescribed, the analyst is to use an appropriate method for the respective sample. </w:t>
      </w:r>
    </w:p>
    <w:p w14:paraId="38727345" w14:textId="13959792" w:rsidR="00876783" w:rsidRPr="00A66609" w:rsidRDefault="00876783" w:rsidP="00D40130">
      <w:pPr>
        <w:pStyle w:val="Heading3"/>
        <w:widowControl/>
        <w:numPr>
          <w:ilvl w:val="2"/>
          <w:numId w:val="23"/>
        </w:numPr>
      </w:pPr>
      <w:bookmarkStart w:id="50" w:name="_Toc67321505"/>
      <w:bookmarkStart w:id="51" w:name="_Toc69987911"/>
      <w:bookmarkStart w:id="52" w:name="_Toc70002633"/>
      <w:bookmarkStart w:id="53" w:name="_Toc86240825"/>
      <w:r>
        <w:t>Canada</w:t>
      </w:r>
      <w:bookmarkEnd w:id="50"/>
      <w:bookmarkEnd w:id="51"/>
      <w:bookmarkEnd w:id="52"/>
      <w:bookmarkEnd w:id="53"/>
    </w:p>
    <w:p w14:paraId="19BD022C" w14:textId="38E2DE2E" w:rsidR="00876783" w:rsidRDefault="006864DE" w:rsidP="003648E6">
      <w:pPr>
        <w:spacing w:before="120" w:after="120"/>
        <w:rPr>
          <w:rFonts w:cs="Arial"/>
          <w:szCs w:val="22"/>
          <w:lang w:val="en" w:eastAsia="en-AU" w:bidi="ar-SA"/>
        </w:rPr>
      </w:pPr>
      <w:r>
        <w:rPr>
          <w:rFonts w:cs="Arial"/>
          <w:szCs w:val="22"/>
          <w:lang w:val="en" w:eastAsia="en-AU" w:bidi="ar-SA"/>
        </w:rPr>
        <w:t xml:space="preserve">In 2012, </w:t>
      </w:r>
      <w:r w:rsidR="00876783">
        <w:rPr>
          <w:rFonts w:cs="Arial"/>
          <w:szCs w:val="22"/>
          <w:lang w:val="en" w:eastAsia="en-AU" w:bidi="ar-SA"/>
        </w:rPr>
        <w:t xml:space="preserve">Health Canada </w:t>
      </w:r>
      <w:r>
        <w:rPr>
          <w:rFonts w:cs="Arial"/>
          <w:szCs w:val="22"/>
          <w:lang w:val="en" w:eastAsia="en-AU" w:bidi="ar-SA"/>
        </w:rPr>
        <w:t xml:space="preserve">(Health Canada, 2013) </w:t>
      </w:r>
      <w:r w:rsidR="00876783">
        <w:rPr>
          <w:rFonts w:cs="Arial"/>
          <w:szCs w:val="22"/>
          <w:lang w:val="en" w:eastAsia="en-AU" w:bidi="ar-SA"/>
        </w:rPr>
        <w:t>defined dietary fibre as:</w:t>
      </w:r>
    </w:p>
    <w:tbl>
      <w:tblPr>
        <w:tblStyle w:val="TableGrid"/>
        <w:tblW w:w="0" w:type="auto"/>
        <w:tblLook w:val="04A0" w:firstRow="1" w:lastRow="0" w:firstColumn="1" w:lastColumn="0" w:noHBand="0" w:noVBand="1"/>
        <w:tblDescription w:val="Health Canada dietary fibre defintition"/>
      </w:tblPr>
      <w:tblGrid>
        <w:gridCol w:w="9060"/>
      </w:tblGrid>
      <w:tr w:rsidR="00876783" w14:paraId="00CA6F5F" w14:textId="77777777" w:rsidTr="0051363F">
        <w:tc>
          <w:tcPr>
            <w:tcW w:w="9060" w:type="dxa"/>
          </w:tcPr>
          <w:p w14:paraId="03091F3D" w14:textId="5B464B2E" w:rsidR="00876783" w:rsidRPr="001D3DEA" w:rsidRDefault="00876783" w:rsidP="00D40130">
            <w:pPr>
              <w:widowControl/>
              <w:numPr>
                <w:ilvl w:val="0"/>
                <w:numId w:val="7"/>
              </w:numPr>
              <w:spacing w:before="120" w:after="120"/>
              <w:rPr>
                <w:rFonts w:cs="Arial"/>
                <w:szCs w:val="22"/>
                <w:lang w:val="en" w:eastAsia="en-AU" w:bidi="ar-SA"/>
              </w:rPr>
            </w:pPr>
            <w:r w:rsidRPr="001D3DEA">
              <w:rPr>
                <w:rFonts w:cs="Arial"/>
                <w:szCs w:val="22"/>
                <w:lang w:val="en" w:eastAsia="en-AU" w:bidi="ar-SA"/>
              </w:rPr>
              <w:lastRenderedPageBreak/>
              <w:t xml:space="preserve">carbohydrates with a </w:t>
            </w:r>
            <w:r w:rsidR="005575C7">
              <w:rPr>
                <w:rFonts w:cs="Arial"/>
                <w:szCs w:val="22"/>
                <w:lang w:val="en" w:eastAsia="en-AU" w:bidi="ar-SA"/>
              </w:rPr>
              <w:t>degree of polymerization</w:t>
            </w:r>
            <w:r w:rsidR="005575C7" w:rsidRPr="001D3DEA">
              <w:t xml:space="preserve"> </w:t>
            </w:r>
            <w:r w:rsidRPr="001D3DEA">
              <w:rPr>
                <w:rFonts w:cs="Arial"/>
                <w:szCs w:val="22"/>
                <w:lang w:val="en" w:eastAsia="en-AU" w:bidi="ar-SA"/>
              </w:rPr>
              <w:t>of 3 or more that naturally occur in foods of plant origin and that are not digested and absorbed by the small intestine; and</w:t>
            </w:r>
          </w:p>
          <w:p w14:paraId="709A3EE9" w14:textId="706D49D1" w:rsidR="00876783" w:rsidRPr="00411020" w:rsidRDefault="00876783" w:rsidP="00D40130">
            <w:pPr>
              <w:widowControl/>
              <w:numPr>
                <w:ilvl w:val="0"/>
                <w:numId w:val="7"/>
              </w:numPr>
              <w:spacing w:before="120" w:after="120"/>
              <w:rPr>
                <w:rFonts w:cs="Arial"/>
                <w:szCs w:val="22"/>
                <w:lang w:val="en" w:eastAsia="en-AU" w:bidi="ar-SA"/>
              </w:rPr>
            </w:pPr>
            <w:r w:rsidRPr="001D3DEA">
              <w:rPr>
                <w:rFonts w:cs="Arial"/>
                <w:szCs w:val="22"/>
                <w:lang w:val="en" w:eastAsia="en-AU" w:bidi="ar-SA"/>
              </w:rPr>
              <w:t>accepted novel fibres.</w:t>
            </w:r>
          </w:p>
          <w:p w14:paraId="21381D58" w14:textId="1F0A97C3" w:rsidR="00876783" w:rsidRDefault="00876783" w:rsidP="003648E6">
            <w:pPr>
              <w:widowControl/>
              <w:spacing w:before="120" w:after="120"/>
              <w:rPr>
                <w:rFonts w:cs="Arial"/>
                <w:szCs w:val="22"/>
                <w:lang w:val="en" w:eastAsia="en-AU" w:bidi="ar-SA"/>
              </w:rPr>
            </w:pPr>
            <w:r w:rsidRPr="001D3DEA">
              <w:rPr>
                <w:rFonts w:cs="Arial"/>
                <w:szCs w:val="22"/>
                <w:lang w:val="en" w:eastAsia="en-AU" w:bidi="ar-SA"/>
              </w:rPr>
              <w:t xml:space="preserve">Novel fibres are ingredients manufactured to be sources of dietary fibre and consist of carbohydrates with a </w:t>
            </w:r>
            <w:r w:rsidR="005575C7">
              <w:rPr>
                <w:rFonts w:cs="Arial"/>
                <w:szCs w:val="22"/>
                <w:lang w:val="en" w:eastAsia="en-AU" w:bidi="ar-SA"/>
              </w:rPr>
              <w:t>degree of polymerization</w:t>
            </w:r>
            <w:r w:rsidR="005575C7" w:rsidRPr="001D3DEA">
              <w:rPr>
                <w:rFonts w:cs="Arial"/>
                <w:szCs w:val="22"/>
                <w:lang w:val="en" w:eastAsia="en-AU" w:bidi="ar-SA"/>
              </w:rPr>
              <w:t xml:space="preserve"> </w:t>
            </w:r>
            <w:r w:rsidRPr="001D3DEA">
              <w:rPr>
                <w:rFonts w:cs="Arial"/>
                <w:szCs w:val="22"/>
                <w:lang w:val="en" w:eastAsia="en-AU" w:bidi="ar-SA"/>
              </w:rPr>
              <w:t>of 3 or more that are not digested and absorbed by the small intestine. They are synthetically produced or are obtained from natural sources which have no history of safe use as dietary fibre or which have been processed so as to modify the properties of the fibre contained therein. Accepted novel fibres have at least one physiological effect demonstrated by generally accepted scientific evidence.</w:t>
            </w:r>
          </w:p>
        </w:tc>
      </w:tr>
    </w:tbl>
    <w:p w14:paraId="569BFE1E" w14:textId="4007E79D" w:rsidR="00876783" w:rsidRDefault="00876783" w:rsidP="003648E6">
      <w:pPr>
        <w:widowControl/>
        <w:spacing w:before="120" w:after="120"/>
        <w:rPr>
          <w:rFonts w:cs="Arial"/>
          <w:szCs w:val="22"/>
          <w:lang w:val="en" w:eastAsia="en-AU" w:bidi="ar-SA"/>
        </w:rPr>
      </w:pPr>
      <w:r>
        <w:rPr>
          <w:rFonts w:cs="Arial"/>
          <w:szCs w:val="22"/>
          <w:lang w:val="en" w:eastAsia="en-AU" w:bidi="ar-SA"/>
        </w:rPr>
        <w:t>For novel fibres, Health Canada recognises four physiological effects of dietary fibre. One</w:t>
      </w:r>
      <w:r w:rsidR="00411020">
        <w:rPr>
          <w:rFonts w:cs="Arial"/>
          <w:szCs w:val="22"/>
          <w:lang w:val="en" w:eastAsia="en-AU" w:bidi="ar-SA"/>
        </w:rPr>
        <w:t xml:space="preserve"> or more effect(s) must be met:</w:t>
      </w:r>
    </w:p>
    <w:p w14:paraId="3970AD46" w14:textId="77777777" w:rsidR="00876783" w:rsidRPr="00F16126" w:rsidRDefault="00876783" w:rsidP="00D40130">
      <w:pPr>
        <w:pStyle w:val="FSBullet1"/>
        <w:numPr>
          <w:ilvl w:val="0"/>
          <w:numId w:val="10"/>
        </w:numPr>
        <w:spacing w:before="120" w:after="120"/>
        <w:rPr>
          <w:lang w:val="en" w:eastAsia="en-AU"/>
        </w:rPr>
      </w:pPr>
      <w:r w:rsidRPr="00F16126">
        <w:rPr>
          <w:lang w:val="en" w:eastAsia="en-AU"/>
        </w:rPr>
        <w:t>improving laxation or regu</w:t>
      </w:r>
      <w:r>
        <w:rPr>
          <w:lang w:val="en" w:eastAsia="en-AU"/>
        </w:rPr>
        <w:t>larity by increasing stool bulk</w:t>
      </w:r>
    </w:p>
    <w:p w14:paraId="32B4313E" w14:textId="77777777" w:rsidR="00876783" w:rsidRPr="00F16126" w:rsidRDefault="00876783" w:rsidP="00D40130">
      <w:pPr>
        <w:pStyle w:val="FSBullet1"/>
        <w:numPr>
          <w:ilvl w:val="0"/>
          <w:numId w:val="10"/>
        </w:numPr>
        <w:spacing w:before="120" w:after="120"/>
        <w:rPr>
          <w:lang w:val="en" w:eastAsia="en-AU"/>
        </w:rPr>
      </w:pPr>
      <w:r w:rsidRPr="00F16126">
        <w:rPr>
          <w:lang w:val="en" w:eastAsia="en-AU"/>
        </w:rPr>
        <w:t>reducing blood total and/or low-density l</w:t>
      </w:r>
      <w:r>
        <w:rPr>
          <w:lang w:val="en" w:eastAsia="en-AU"/>
        </w:rPr>
        <w:t>ipoprotein cholesterol levels</w:t>
      </w:r>
    </w:p>
    <w:p w14:paraId="45D1F70F" w14:textId="77777777" w:rsidR="00876783" w:rsidRPr="00F16126" w:rsidRDefault="00876783" w:rsidP="00D40130">
      <w:pPr>
        <w:pStyle w:val="FSBullet1"/>
        <w:numPr>
          <w:ilvl w:val="0"/>
          <w:numId w:val="10"/>
        </w:numPr>
        <w:spacing w:before="120" w:after="120"/>
        <w:rPr>
          <w:lang w:val="en" w:eastAsia="en-AU"/>
        </w:rPr>
      </w:pPr>
      <w:r w:rsidRPr="00F16126">
        <w:rPr>
          <w:lang w:val="en" w:eastAsia="en-AU"/>
        </w:rPr>
        <w:t>reducing post-prandial blood glucose and/or insulin levels, or in</w:t>
      </w:r>
      <w:r>
        <w:rPr>
          <w:lang w:val="en" w:eastAsia="en-AU"/>
        </w:rPr>
        <w:t>creasing sensitivity to insulin</w:t>
      </w:r>
    </w:p>
    <w:p w14:paraId="22FFC4A1" w14:textId="77777777" w:rsidR="00876783" w:rsidRPr="00F16126" w:rsidRDefault="00876783" w:rsidP="00D40130">
      <w:pPr>
        <w:pStyle w:val="FSBullet1"/>
        <w:numPr>
          <w:ilvl w:val="0"/>
          <w:numId w:val="10"/>
        </w:numPr>
        <w:spacing w:before="120" w:after="120"/>
        <w:rPr>
          <w:lang w:val="en" w:eastAsia="en-AU"/>
        </w:rPr>
      </w:pPr>
      <w:r w:rsidRPr="00F16126">
        <w:rPr>
          <w:lang w:val="en" w:eastAsia="en-AU"/>
        </w:rPr>
        <w:t>providing energy-yielding metabolites through colonic fermentation.</w:t>
      </w:r>
    </w:p>
    <w:p w14:paraId="49272795" w14:textId="77777777" w:rsidR="00876783" w:rsidRPr="001B50A0" w:rsidRDefault="00876783" w:rsidP="001B50A0">
      <w:pPr>
        <w:spacing w:before="240"/>
        <w:rPr>
          <w:b/>
          <w:i/>
        </w:rPr>
      </w:pPr>
      <w:r w:rsidRPr="001B50A0">
        <w:rPr>
          <w:b/>
          <w:i/>
        </w:rPr>
        <w:t>Methods of analysis</w:t>
      </w:r>
    </w:p>
    <w:p w14:paraId="7E2669D3" w14:textId="77777777" w:rsidR="00876783" w:rsidRDefault="00876783" w:rsidP="003648E6">
      <w:pPr>
        <w:widowControl/>
        <w:spacing w:before="120" w:after="120"/>
        <w:rPr>
          <w:lang w:bidi="ar-SA"/>
        </w:rPr>
      </w:pPr>
      <w:r>
        <w:rPr>
          <w:lang w:bidi="ar-SA"/>
        </w:rPr>
        <w:t>Methods of analysis accepted by Health Canada are aligned with those accepted by Codex. For total dietary fibre, AOAC 2009.01 is the most recently listed.</w:t>
      </w:r>
    </w:p>
    <w:p w14:paraId="22B6B6AB" w14:textId="059B1CE1" w:rsidR="00876783" w:rsidRPr="004D60AC" w:rsidRDefault="00876783" w:rsidP="00D40130">
      <w:pPr>
        <w:pStyle w:val="Heading3"/>
        <w:widowControl/>
        <w:numPr>
          <w:ilvl w:val="2"/>
          <w:numId w:val="23"/>
        </w:numPr>
      </w:pPr>
      <w:bookmarkStart w:id="54" w:name="_Toc67321506"/>
      <w:bookmarkStart w:id="55" w:name="_Toc69987912"/>
      <w:bookmarkStart w:id="56" w:name="_Toc70002634"/>
      <w:bookmarkStart w:id="57" w:name="_Toc86240826"/>
      <w:r w:rsidRPr="00B54C28">
        <w:t>European Union</w:t>
      </w:r>
      <w:bookmarkEnd w:id="54"/>
      <w:bookmarkEnd w:id="55"/>
      <w:bookmarkEnd w:id="56"/>
      <w:bookmarkEnd w:id="57"/>
    </w:p>
    <w:p w14:paraId="568A9111" w14:textId="2226962A" w:rsidR="00876783" w:rsidRDefault="00876783" w:rsidP="003648E6">
      <w:pPr>
        <w:pStyle w:val="NormalWeb"/>
        <w:shd w:val="clear" w:color="auto" w:fill="FFFFFF"/>
        <w:spacing w:before="120" w:after="120"/>
        <w:jc w:val="both"/>
        <w:rPr>
          <w:rFonts w:ascii="Arial" w:hAnsi="Arial" w:cs="Arial"/>
          <w:color w:val="000000"/>
          <w:sz w:val="22"/>
          <w:szCs w:val="22"/>
          <w:lang w:val="en"/>
        </w:rPr>
      </w:pPr>
      <w:r>
        <w:rPr>
          <w:rFonts w:ascii="Arial" w:hAnsi="Arial" w:cs="Arial"/>
          <w:color w:val="000000"/>
          <w:sz w:val="22"/>
          <w:szCs w:val="22"/>
          <w:lang w:val="en"/>
        </w:rPr>
        <w:t>The European Commission (EU 2011)</w:t>
      </w:r>
      <w:r w:rsidRPr="004D60AC">
        <w:rPr>
          <w:rFonts w:ascii="Arial" w:hAnsi="Arial" w:cs="Arial"/>
          <w:color w:val="000000"/>
          <w:sz w:val="22"/>
          <w:szCs w:val="22"/>
          <w:lang w:val="en"/>
        </w:rPr>
        <w:t xml:space="preserve"> defines</w:t>
      </w:r>
      <w:r w:rsidR="000D0E36">
        <w:rPr>
          <w:rFonts w:ascii="Arial" w:hAnsi="Arial" w:cs="Arial"/>
          <w:color w:val="000000"/>
          <w:sz w:val="22"/>
          <w:szCs w:val="22"/>
          <w:lang w:val="en"/>
        </w:rPr>
        <w:t xml:space="preserve"> dietary</w:t>
      </w:r>
      <w:r w:rsidRPr="004D60AC">
        <w:rPr>
          <w:rFonts w:ascii="Arial" w:hAnsi="Arial" w:cs="Arial"/>
          <w:color w:val="000000"/>
          <w:sz w:val="22"/>
          <w:szCs w:val="22"/>
          <w:lang w:val="en"/>
        </w:rPr>
        <w:t xml:space="preserve"> fibre as:</w:t>
      </w:r>
      <w:r>
        <w:rPr>
          <w:rFonts w:ascii="Arial" w:hAnsi="Arial" w:cs="Arial"/>
          <w:color w:val="000000"/>
          <w:sz w:val="22"/>
          <w:szCs w:val="22"/>
          <w:lang w:val="en"/>
        </w:rPr>
        <w:t xml:space="preserve"> </w:t>
      </w:r>
    </w:p>
    <w:tbl>
      <w:tblPr>
        <w:tblStyle w:val="TableGrid"/>
        <w:tblW w:w="0" w:type="auto"/>
        <w:tblLook w:val="04A0" w:firstRow="1" w:lastRow="0" w:firstColumn="1" w:lastColumn="0" w:noHBand="0" w:noVBand="1"/>
        <w:tblDescription w:val="EU dietary fibre definition"/>
      </w:tblPr>
      <w:tblGrid>
        <w:gridCol w:w="9060"/>
      </w:tblGrid>
      <w:tr w:rsidR="00876783" w14:paraId="7DB7405A" w14:textId="77777777" w:rsidTr="0051363F">
        <w:tc>
          <w:tcPr>
            <w:tcW w:w="9060" w:type="dxa"/>
          </w:tcPr>
          <w:p w14:paraId="1CEC15F1" w14:textId="77777777" w:rsidR="00876783" w:rsidRPr="001D3DEA" w:rsidRDefault="00876783" w:rsidP="003648E6">
            <w:pPr>
              <w:pStyle w:val="NormalWeb"/>
              <w:shd w:val="clear" w:color="auto" w:fill="FFFFFF"/>
              <w:spacing w:before="120" w:after="120" w:line="240" w:lineRule="auto"/>
              <w:jc w:val="both"/>
              <w:rPr>
                <w:rFonts w:ascii="Arial" w:hAnsi="Arial" w:cs="Arial"/>
                <w:color w:val="000000"/>
                <w:sz w:val="22"/>
                <w:szCs w:val="22"/>
                <w:lang w:val="en"/>
              </w:rPr>
            </w:pPr>
            <w:r w:rsidRPr="001D3DEA">
              <w:rPr>
                <w:rFonts w:ascii="Arial" w:hAnsi="Arial" w:cs="Arial"/>
                <w:color w:val="000000"/>
                <w:sz w:val="22"/>
                <w:szCs w:val="22"/>
                <w:lang w:val="en"/>
              </w:rPr>
              <w:t>Carbohydrate polymers with three or more monomeric units, which are neither digested nor absorbed in the human small intestine and belong to the following categories:</w:t>
            </w:r>
          </w:p>
          <w:p w14:paraId="28126D15" w14:textId="77777777" w:rsidR="00876783" w:rsidRPr="001D3DEA" w:rsidRDefault="00876783" w:rsidP="00D40130">
            <w:pPr>
              <w:pStyle w:val="NormalWeb"/>
              <w:numPr>
                <w:ilvl w:val="0"/>
                <w:numId w:val="12"/>
              </w:numPr>
              <w:shd w:val="clear" w:color="auto" w:fill="FFFFFF"/>
              <w:spacing w:before="120" w:after="120" w:line="240" w:lineRule="auto"/>
              <w:jc w:val="both"/>
              <w:rPr>
                <w:rFonts w:ascii="Arial" w:hAnsi="Arial" w:cs="Arial"/>
                <w:color w:val="000000"/>
                <w:sz w:val="22"/>
                <w:szCs w:val="22"/>
                <w:lang w:val="en"/>
              </w:rPr>
            </w:pPr>
            <w:r w:rsidRPr="001D3DEA">
              <w:rPr>
                <w:rFonts w:ascii="Arial" w:hAnsi="Arial" w:cs="Arial"/>
                <w:color w:val="000000"/>
                <w:sz w:val="22"/>
                <w:szCs w:val="22"/>
                <w:lang w:val="en"/>
              </w:rPr>
              <w:t>edible carbohydrate polymers naturally occurring in the food as consumed,</w:t>
            </w:r>
          </w:p>
          <w:p w14:paraId="65EF90C0" w14:textId="77777777" w:rsidR="00876783" w:rsidRPr="001D3DEA" w:rsidRDefault="00876783" w:rsidP="00D40130">
            <w:pPr>
              <w:pStyle w:val="NormalWeb"/>
              <w:numPr>
                <w:ilvl w:val="0"/>
                <w:numId w:val="12"/>
              </w:numPr>
              <w:shd w:val="clear" w:color="auto" w:fill="FFFFFF"/>
              <w:spacing w:before="120" w:after="120" w:line="240" w:lineRule="auto"/>
              <w:jc w:val="both"/>
              <w:rPr>
                <w:rFonts w:ascii="Arial" w:hAnsi="Arial" w:cs="Arial"/>
                <w:color w:val="000000"/>
                <w:sz w:val="22"/>
                <w:szCs w:val="22"/>
                <w:lang w:val="en"/>
              </w:rPr>
            </w:pPr>
            <w:r w:rsidRPr="001D3DEA">
              <w:rPr>
                <w:rFonts w:ascii="Arial" w:hAnsi="Arial" w:cs="Arial"/>
                <w:color w:val="000000"/>
                <w:sz w:val="22"/>
                <w:szCs w:val="22"/>
                <w:lang w:val="en"/>
              </w:rPr>
              <w:t>edible carbohydrate polymers which have been obtained from food raw material by physical, enzymatic or chemical means and which have a beneficial physiological effect demonstrated by generally accepted scientific evidence,</w:t>
            </w:r>
          </w:p>
          <w:p w14:paraId="3290F296" w14:textId="20A6751C" w:rsidR="00876783" w:rsidRPr="0036254B" w:rsidRDefault="00876783" w:rsidP="00D40130">
            <w:pPr>
              <w:pStyle w:val="ListParagraph"/>
              <w:numPr>
                <w:ilvl w:val="0"/>
                <w:numId w:val="12"/>
              </w:numPr>
              <w:spacing w:before="120" w:after="120"/>
              <w:contextualSpacing w:val="0"/>
              <w:rPr>
                <w:i/>
                <w:lang w:val="en"/>
              </w:rPr>
            </w:pPr>
            <w:r w:rsidRPr="001D3DEA">
              <w:rPr>
                <w:lang w:val="en"/>
              </w:rPr>
              <w:t>edible synthetic carbohydrate polymers which have a beneficial physiological effect demonstrated by generally accepted scientific evidence.</w:t>
            </w:r>
          </w:p>
        </w:tc>
      </w:tr>
    </w:tbl>
    <w:p w14:paraId="7A2CB10E" w14:textId="3ED3D3C5" w:rsidR="00876783" w:rsidRPr="00996F0B" w:rsidRDefault="000D0E36" w:rsidP="003648E6">
      <w:pPr>
        <w:widowControl/>
        <w:spacing w:before="120" w:after="120"/>
        <w:rPr>
          <w:rFonts w:cs="Arial"/>
          <w:szCs w:val="22"/>
          <w:lang w:val="en"/>
        </w:rPr>
      </w:pPr>
      <w:r>
        <w:rPr>
          <w:rFonts w:cs="Arial"/>
          <w:szCs w:val="22"/>
          <w:lang w:val="en"/>
        </w:rPr>
        <w:t>Dietary f</w:t>
      </w:r>
      <w:r w:rsidR="00876783" w:rsidRPr="00C50A42">
        <w:rPr>
          <w:rFonts w:cs="Arial"/>
          <w:szCs w:val="22"/>
          <w:lang w:val="en"/>
        </w:rPr>
        <w:t xml:space="preserve">ibre </w:t>
      </w:r>
      <w:r w:rsidR="00876783">
        <w:rPr>
          <w:rFonts w:cs="Arial"/>
          <w:szCs w:val="22"/>
          <w:lang w:val="en"/>
        </w:rPr>
        <w:t>must have</w:t>
      </w:r>
      <w:r w:rsidR="00876783" w:rsidRPr="00C50A42">
        <w:rPr>
          <w:rFonts w:cs="Arial"/>
          <w:szCs w:val="22"/>
          <w:lang w:val="en"/>
        </w:rPr>
        <w:t xml:space="preserve"> one or more beneficial physiological effects</w:t>
      </w:r>
      <w:r w:rsidR="00876783">
        <w:rPr>
          <w:rFonts w:cs="Arial"/>
          <w:szCs w:val="22"/>
          <w:lang w:val="en"/>
        </w:rPr>
        <w:t>; t</w:t>
      </w:r>
      <w:r w:rsidR="00876783" w:rsidRPr="00996F0B">
        <w:rPr>
          <w:rFonts w:cs="Arial"/>
          <w:szCs w:val="22"/>
          <w:lang w:val="en"/>
        </w:rPr>
        <w:t xml:space="preserve">he </w:t>
      </w:r>
      <w:r w:rsidR="00876783" w:rsidRPr="008657C8">
        <w:rPr>
          <w:rFonts w:cs="Arial"/>
          <w:szCs w:val="22"/>
        </w:rPr>
        <w:t>recognised</w:t>
      </w:r>
      <w:r w:rsidR="00876783" w:rsidRPr="00996F0B">
        <w:rPr>
          <w:rFonts w:cs="Arial"/>
          <w:szCs w:val="22"/>
          <w:lang w:val="en"/>
        </w:rPr>
        <w:t xml:space="preserve"> beneficial physiological effects listed by the European Commission (</w:t>
      </w:r>
      <w:r w:rsidR="00876783">
        <w:rPr>
          <w:rFonts w:cs="Arial"/>
          <w:szCs w:val="22"/>
          <w:lang w:val="en"/>
        </w:rPr>
        <w:t xml:space="preserve">EC </w:t>
      </w:r>
      <w:r w:rsidR="00876783" w:rsidRPr="00996F0B">
        <w:rPr>
          <w:rFonts w:cs="Arial"/>
          <w:szCs w:val="22"/>
          <w:lang w:val="en"/>
        </w:rPr>
        <w:t>2008) are:</w:t>
      </w:r>
    </w:p>
    <w:p w14:paraId="1F9169BD" w14:textId="77777777" w:rsidR="00876783" w:rsidRPr="00996F0B" w:rsidRDefault="00876783" w:rsidP="00D40130">
      <w:pPr>
        <w:pStyle w:val="FSBullet1"/>
        <w:numPr>
          <w:ilvl w:val="0"/>
          <w:numId w:val="11"/>
        </w:numPr>
        <w:spacing w:before="120" w:after="120"/>
        <w:rPr>
          <w:lang w:val="en"/>
        </w:rPr>
      </w:pPr>
      <w:r w:rsidRPr="00996F0B">
        <w:rPr>
          <w:shd w:val="clear" w:color="auto" w:fill="FFFFFF"/>
        </w:rPr>
        <w:t>decrease intestinal transit time</w:t>
      </w:r>
    </w:p>
    <w:p w14:paraId="289230AF" w14:textId="77777777" w:rsidR="00876783" w:rsidRPr="00996F0B" w:rsidRDefault="00876783" w:rsidP="00D40130">
      <w:pPr>
        <w:pStyle w:val="FSBullet1"/>
        <w:numPr>
          <w:ilvl w:val="0"/>
          <w:numId w:val="11"/>
        </w:numPr>
        <w:spacing w:before="120" w:after="120"/>
        <w:rPr>
          <w:lang w:val="en"/>
        </w:rPr>
      </w:pPr>
      <w:r w:rsidRPr="00996F0B">
        <w:rPr>
          <w:shd w:val="clear" w:color="auto" w:fill="FFFFFF"/>
        </w:rPr>
        <w:t>increase stool bulk</w:t>
      </w:r>
    </w:p>
    <w:p w14:paraId="0B6265D2" w14:textId="77777777" w:rsidR="00876783" w:rsidRPr="00996F0B" w:rsidRDefault="00876783" w:rsidP="00D40130">
      <w:pPr>
        <w:pStyle w:val="FSBullet1"/>
        <w:numPr>
          <w:ilvl w:val="0"/>
          <w:numId w:val="11"/>
        </w:numPr>
        <w:spacing w:before="120" w:after="120"/>
        <w:rPr>
          <w:lang w:val="en"/>
        </w:rPr>
      </w:pPr>
      <w:r w:rsidRPr="00996F0B">
        <w:rPr>
          <w:shd w:val="clear" w:color="auto" w:fill="FFFFFF"/>
        </w:rPr>
        <w:t>is fermentable by colonic microflora</w:t>
      </w:r>
    </w:p>
    <w:p w14:paraId="58E8DE43" w14:textId="77777777" w:rsidR="00876783" w:rsidRPr="00996F0B" w:rsidRDefault="00876783" w:rsidP="00D40130">
      <w:pPr>
        <w:pStyle w:val="FSBullet1"/>
        <w:numPr>
          <w:ilvl w:val="0"/>
          <w:numId w:val="11"/>
        </w:numPr>
        <w:spacing w:before="120" w:after="120"/>
        <w:rPr>
          <w:lang w:val="en"/>
        </w:rPr>
      </w:pPr>
      <w:r w:rsidRPr="00996F0B">
        <w:rPr>
          <w:shd w:val="clear" w:color="auto" w:fill="FFFFFF"/>
        </w:rPr>
        <w:t>reduce blood total cholesterol</w:t>
      </w:r>
    </w:p>
    <w:p w14:paraId="78A39A49" w14:textId="77777777" w:rsidR="00876783" w:rsidRPr="00996F0B" w:rsidRDefault="00876783" w:rsidP="00D40130">
      <w:pPr>
        <w:pStyle w:val="FSBullet1"/>
        <w:numPr>
          <w:ilvl w:val="0"/>
          <w:numId w:val="11"/>
        </w:numPr>
        <w:spacing w:before="120" w:after="120"/>
        <w:rPr>
          <w:lang w:val="en"/>
        </w:rPr>
      </w:pPr>
      <w:r w:rsidRPr="00996F0B">
        <w:rPr>
          <w:shd w:val="clear" w:color="auto" w:fill="FFFFFF"/>
        </w:rPr>
        <w:t>reduce blood LDL cholesterol levels</w:t>
      </w:r>
    </w:p>
    <w:p w14:paraId="3762DC94" w14:textId="77777777" w:rsidR="00876783" w:rsidRPr="00876E1D" w:rsidRDefault="00876783" w:rsidP="00D40130">
      <w:pPr>
        <w:pStyle w:val="FSBullet1"/>
        <w:numPr>
          <w:ilvl w:val="0"/>
          <w:numId w:val="11"/>
        </w:numPr>
        <w:spacing w:before="120" w:after="120"/>
        <w:rPr>
          <w:lang w:val="en"/>
        </w:rPr>
      </w:pPr>
      <w:r w:rsidRPr="00996F0B">
        <w:rPr>
          <w:shd w:val="clear" w:color="auto" w:fill="FFFFFF"/>
        </w:rPr>
        <w:t>reduce post-prandial blood glucose, or reduce blood insulin levels.</w:t>
      </w:r>
    </w:p>
    <w:p w14:paraId="66B4EF8E" w14:textId="77777777" w:rsidR="00876783" w:rsidRPr="001B50A0" w:rsidRDefault="00876783" w:rsidP="001B50A0">
      <w:pPr>
        <w:spacing w:before="240"/>
        <w:rPr>
          <w:b/>
          <w:i/>
        </w:rPr>
      </w:pPr>
      <w:r w:rsidRPr="001B50A0">
        <w:rPr>
          <w:b/>
          <w:i/>
        </w:rPr>
        <w:lastRenderedPageBreak/>
        <w:t>Methods of analysis</w:t>
      </w:r>
    </w:p>
    <w:p w14:paraId="465719F7" w14:textId="77777777" w:rsidR="00876783" w:rsidRPr="00876E1D" w:rsidRDefault="00876783" w:rsidP="003648E6">
      <w:pPr>
        <w:widowControl/>
        <w:spacing w:before="120" w:after="120"/>
        <w:rPr>
          <w:rFonts w:cs="Arial"/>
          <w:szCs w:val="22"/>
          <w:lang w:val="en"/>
        </w:rPr>
      </w:pPr>
      <w:r>
        <w:rPr>
          <w:rFonts w:cs="Arial"/>
          <w:szCs w:val="22"/>
          <w:lang w:val="en"/>
        </w:rPr>
        <w:t>Methods of analysis accepted by the European Commission (EC 2012) are aligned with those accepted by Codex. For total dietary fibre, AOAC 2009.01 is the most recently listed.</w:t>
      </w:r>
    </w:p>
    <w:p w14:paraId="75E79CA8" w14:textId="47F5064D" w:rsidR="007A53BF" w:rsidRPr="00486B23" w:rsidRDefault="007A53BF" w:rsidP="00D40130">
      <w:pPr>
        <w:pStyle w:val="Heading2"/>
        <w:numPr>
          <w:ilvl w:val="1"/>
          <w:numId w:val="23"/>
        </w:numPr>
      </w:pPr>
      <w:bookmarkStart w:id="58" w:name="_Toc86240827"/>
      <w:r w:rsidRPr="00486B23">
        <w:t xml:space="preserve">Reasons for accepting </w:t>
      </w:r>
      <w:bookmarkEnd w:id="26"/>
      <w:bookmarkEnd w:id="27"/>
      <w:bookmarkEnd w:id="28"/>
      <w:r w:rsidR="006E61C2">
        <w:t>a</w:t>
      </w:r>
      <w:r w:rsidR="006E61C2" w:rsidRPr="00486B23">
        <w:t>pplication</w:t>
      </w:r>
      <w:bookmarkEnd w:id="58"/>
    </w:p>
    <w:p w14:paraId="39D3E518" w14:textId="77777777" w:rsidR="00326CE0" w:rsidRPr="004D60AC" w:rsidRDefault="00326CE0" w:rsidP="003648E6">
      <w:pPr>
        <w:widowControl/>
        <w:spacing w:before="120" w:after="120"/>
        <w:rPr>
          <w:rFonts w:cs="Arial"/>
          <w:szCs w:val="22"/>
        </w:rPr>
      </w:pPr>
      <w:bookmarkStart w:id="59" w:name="_Toc370223469"/>
      <w:bookmarkEnd w:id="29"/>
      <w:r w:rsidRPr="004D60AC">
        <w:rPr>
          <w:rFonts w:cs="Arial"/>
          <w:szCs w:val="22"/>
        </w:rPr>
        <w:t>The application was accepted for assessme</w:t>
      </w:r>
      <w:r>
        <w:rPr>
          <w:rFonts w:cs="Arial"/>
          <w:szCs w:val="22"/>
        </w:rPr>
        <w:t>nt because:</w:t>
      </w:r>
    </w:p>
    <w:p w14:paraId="1108AC41" w14:textId="43EA16F2" w:rsidR="00326CE0" w:rsidRPr="00542857" w:rsidRDefault="00326CE0" w:rsidP="00D40130">
      <w:pPr>
        <w:pStyle w:val="FSBullet1"/>
        <w:numPr>
          <w:ilvl w:val="0"/>
          <w:numId w:val="4"/>
        </w:numPr>
        <w:spacing w:before="120" w:after="120"/>
        <w:ind w:left="567" w:hanging="567"/>
      </w:pPr>
      <w:r w:rsidRPr="00542857">
        <w:t xml:space="preserve">it complied with the procedural requirements under subsection 22(2) of the </w:t>
      </w:r>
      <w:r w:rsidRPr="00280E67">
        <w:rPr>
          <w:i/>
        </w:rPr>
        <w:t>Food Standards Australia New Zealand Act 1991</w:t>
      </w:r>
      <w:r w:rsidRPr="00542857">
        <w:t xml:space="preserve"> (FSANZ Act)</w:t>
      </w:r>
    </w:p>
    <w:p w14:paraId="14C4E79F" w14:textId="77777777" w:rsidR="00326CE0" w:rsidRPr="00542857" w:rsidRDefault="00326CE0" w:rsidP="00D40130">
      <w:pPr>
        <w:pStyle w:val="FSBullet1"/>
        <w:numPr>
          <w:ilvl w:val="0"/>
          <w:numId w:val="4"/>
        </w:numPr>
        <w:spacing w:before="120" w:after="120"/>
        <w:ind w:left="567" w:hanging="567"/>
      </w:pPr>
      <w:r w:rsidRPr="00542857">
        <w:t>it related to a matter that warranted the variation of a food regulatory measure.</w:t>
      </w:r>
    </w:p>
    <w:p w14:paraId="5CF33307" w14:textId="51F153EC" w:rsidR="0016504A" w:rsidRDefault="0016504A" w:rsidP="00D40130">
      <w:pPr>
        <w:pStyle w:val="Heading2"/>
        <w:numPr>
          <w:ilvl w:val="1"/>
          <w:numId w:val="23"/>
        </w:numPr>
      </w:pPr>
      <w:bookmarkStart w:id="60" w:name="_Toc86240828"/>
      <w:r w:rsidRPr="007A53BF">
        <w:t>Procedure for assessment</w:t>
      </w:r>
      <w:bookmarkEnd w:id="60"/>
    </w:p>
    <w:p w14:paraId="7E9DE811" w14:textId="77777777" w:rsidR="002D21AC" w:rsidRDefault="0016504A" w:rsidP="002D21AC">
      <w:pPr>
        <w:spacing w:before="120" w:after="120"/>
      </w:pPr>
      <w:r w:rsidRPr="00326CE0">
        <w:t xml:space="preserve">The </w:t>
      </w:r>
      <w:r w:rsidR="006E61C2">
        <w:t>a</w:t>
      </w:r>
      <w:r w:rsidR="006E61C2" w:rsidRPr="00326CE0">
        <w:t xml:space="preserve">pplication </w:t>
      </w:r>
      <w:r w:rsidRPr="00326CE0">
        <w:t>was assess</w:t>
      </w:r>
      <w:r>
        <w:t>ed under the General Procedure.</w:t>
      </w:r>
    </w:p>
    <w:p w14:paraId="45CE9FCF" w14:textId="02944052" w:rsidR="007A53BF" w:rsidRPr="007A53BF" w:rsidRDefault="0016504A" w:rsidP="00D40130">
      <w:pPr>
        <w:pStyle w:val="Heading2"/>
        <w:numPr>
          <w:ilvl w:val="1"/>
          <w:numId w:val="23"/>
        </w:numPr>
      </w:pPr>
      <w:bookmarkStart w:id="61" w:name="_Toc86240829"/>
      <w:r>
        <w:t>Decision</w:t>
      </w:r>
      <w:bookmarkEnd w:id="59"/>
      <w:bookmarkEnd w:id="61"/>
    </w:p>
    <w:p w14:paraId="6C023DF1" w14:textId="530636F1" w:rsidR="00401ADE" w:rsidRDefault="00422EC9" w:rsidP="003648E6">
      <w:pPr>
        <w:spacing w:before="120" w:after="120"/>
      </w:pPr>
      <w:r w:rsidRPr="00411020">
        <w:t xml:space="preserve">The draft </w:t>
      </w:r>
      <w:r w:rsidR="00B54C28" w:rsidRPr="00411020">
        <w:t xml:space="preserve">variation </w:t>
      </w:r>
      <w:r w:rsidRPr="00411020">
        <w:t>as proposed following assessment was approved without change.</w:t>
      </w:r>
      <w:r w:rsidR="002C1A3B" w:rsidRPr="00411020">
        <w:t xml:space="preserve"> The variation takes effect on </w:t>
      </w:r>
      <w:r w:rsidR="00ED4E5E">
        <w:t>G</w:t>
      </w:r>
      <w:r w:rsidR="00B54C28" w:rsidRPr="00411020">
        <w:t>azettal</w:t>
      </w:r>
      <w:r w:rsidR="002C1A3B" w:rsidRPr="00411020">
        <w:t>.</w:t>
      </w:r>
      <w:r w:rsidR="00B54C28" w:rsidRPr="00411020">
        <w:t xml:space="preserve"> </w:t>
      </w:r>
      <w:r w:rsidRPr="00411020">
        <w:t xml:space="preserve">The </w:t>
      </w:r>
      <w:r w:rsidR="002C1A3B" w:rsidRPr="00411020">
        <w:t xml:space="preserve">approved </w:t>
      </w:r>
      <w:r w:rsidRPr="00411020">
        <w:t xml:space="preserve">draft </w:t>
      </w:r>
      <w:r w:rsidR="00B54C28" w:rsidRPr="00411020">
        <w:t>variation</w:t>
      </w:r>
      <w:r w:rsidRPr="00411020">
        <w:t xml:space="preserve"> </w:t>
      </w:r>
      <w:r w:rsidR="005E06C0" w:rsidRPr="00411020">
        <w:t xml:space="preserve">is </w:t>
      </w:r>
      <w:r w:rsidRPr="00411020">
        <w:t xml:space="preserve">at Attachment </w:t>
      </w:r>
      <w:r w:rsidR="003247F4">
        <w:t>A.</w:t>
      </w:r>
    </w:p>
    <w:p w14:paraId="793FC07E" w14:textId="77777777" w:rsidR="00FF1600" w:rsidRDefault="005E06C0" w:rsidP="0016504A">
      <w:pPr>
        <w:spacing w:before="120" w:after="120"/>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AC0E36">
        <w:t xml:space="preserve">. </w:t>
      </w:r>
    </w:p>
    <w:p w14:paraId="391128A5" w14:textId="77777777" w:rsidR="00227EB6" w:rsidRDefault="00FF1600">
      <w:pPr>
        <w:widowControl/>
        <w:sectPr w:rsidR="00227EB6" w:rsidSect="00136405">
          <w:footerReference w:type="even" r:id="rId21"/>
          <w:headerReference w:type="first" r:id="rId22"/>
          <w:pgSz w:w="11906" w:h="16838" w:code="9"/>
          <w:pgMar w:top="1418" w:right="1418" w:bottom="1418" w:left="1418" w:header="709" w:footer="709" w:gutter="0"/>
          <w:cols w:space="708"/>
          <w:docGrid w:linePitch="360"/>
        </w:sectPr>
      </w:pPr>
      <w:r>
        <w:br w:type="page"/>
      </w:r>
    </w:p>
    <w:p w14:paraId="41D45E91" w14:textId="029FB479" w:rsidR="0012388D" w:rsidRPr="0016504A" w:rsidRDefault="00AF387F" w:rsidP="00D40130">
      <w:pPr>
        <w:pStyle w:val="Heading1"/>
        <w:numPr>
          <w:ilvl w:val="0"/>
          <w:numId w:val="23"/>
        </w:numPr>
      </w:pPr>
      <w:bookmarkStart w:id="62" w:name="_Toc86240830"/>
      <w:bookmarkStart w:id="63" w:name="_Toc11735630"/>
      <w:bookmarkStart w:id="64" w:name="_Toc29883114"/>
      <w:bookmarkStart w:id="65" w:name="_Toc41906801"/>
      <w:bookmarkStart w:id="66" w:name="_Toc41907548"/>
      <w:bookmarkStart w:id="67" w:name="_Toc120358578"/>
      <w:bookmarkStart w:id="68" w:name="_Toc175381435"/>
      <w:bookmarkEnd w:id="5"/>
      <w:bookmarkEnd w:id="6"/>
      <w:bookmarkEnd w:id="7"/>
      <w:bookmarkEnd w:id="8"/>
      <w:bookmarkEnd w:id="9"/>
      <w:r w:rsidRPr="0016504A">
        <w:lastRenderedPageBreak/>
        <w:t>Summary of the findings</w:t>
      </w:r>
      <w:bookmarkEnd w:id="62"/>
    </w:p>
    <w:p w14:paraId="36C513E2" w14:textId="594E03BA" w:rsidR="007A53BF" w:rsidRPr="004F06B3" w:rsidRDefault="007A53BF" w:rsidP="00D40130">
      <w:pPr>
        <w:pStyle w:val="Heading2"/>
        <w:numPr>
          <w:ilvl w:val="1"/>
          <w:numId w:val="23"/>
        </w:numPr>
      </w:pPr>
      <w:bookmarkStart w:id="69" w:name="_Toc300933438"/>
      <w:bookmarkStart w:id="70" w:name="_Toc370223471"/>
      <w:bookmarkStart w:id="71" w:name="_Toc370225386"/>
      <w:bookmarkStart w:id="72" w:name="_Toc86240831"/>
      <w:bookmarkStart w:id="73" w:name="_Toc286391009"/>
      <w:bookmarkStart w:id="74" w:name="_Toc300933425"/>
      <w:bookmarkStart w:id="75" w:name="_Toc309291838"/>
      <w:bookmarkStart w:id="76" w:name="_Toc309385455"/>
      <w:bookmarkStart w:id="77" w:name="_Toc120358583"/>
      <w:bookmarkStart w:id="78" w:name="_Toc175381440"/>
      <w:r w:rsidRPr="004F06B3">
        <w:t xml:space="preserve">Summary of issues raised </w:t>
      </w:r>
      <w:bookmarkEnd w:id="69"/>
      <w:r w:rsidRPr="004F06B3">
        <w:t>in submissions</w:t>
      </w:r>
      <w:bookmarkEnd w:id="70"/>
      <w:bookmarkEnd w:id="71"/>
      <w:bookmarkEnd w:id="72"/>
    </w:p>
    <w:p w14:paraId="1659B8A6" w14:textId="0EE56DFF" w:rsidR="00C4251F" w:rsidRDefault="00C4251F" w:rsidP="003648E6">
      <w:pPr>
        <w:spacing w:before="120" w:after="120"/>
      </w:pPr>
      <w:r>
        <w:t xml:space="preserve">FSANZ called for submissions on a draft variation to the Code from </w:t>
      </w:r>
      <w:r w:rsidR="006E22F9" w:rsidRPr="006E22F9">
        <w:t>21 May to 22 June 2021</w:t>
      </w:r>
      <w:r>
        <w:t>. Eleven submissions were received, five from</w:t>
      </w:r>
      <w:r w:rsidR="00AC1C17">
        <w:t xml:space="preserve"> </w:t>
      </w:r>
      <w:r>
        <w:t>g</w:t>
      </w:r>
      <w:r w:rsidR="00AC1C17">
        <w:t xml:space="preserve">overnment </w:t>
      </w:r>
      <w:r>
        <w:t>agencies and six from i</w:t>
      </w:r>
      <w:r w:rsidR="00AC1C17">
        <w:t xml:space="preserve">ndustry </w:t>
      </w:r>
      <w:r>
        <w:t>stakeholders</w:t>
      </w:r>
      <w:r w:rsidR="00AC1C17">
        <w:t xml:space="preserve"> </w:t>
      </w:r>
      <w:r>
        <w:t>(including one</w:t>
      </w:r>
      <w:r w:rsidR="00AC1C17">
        <w:t xml:space="preserve"> late submission</w:t>
      </w:r>
      <w:r>
        <w:t>)</w:t>
      </w:r>
      <w:r w:rsidR="00AC1C17">
        <w:t>.</w:t>
      </w:r>
      <w:r w:rsidR="002B0DA7">
        <w:t xml:space="preserve"> </w:t>
      </w:r>
      <w:r w:rsidR="003B326D">
        <w:t xml:space="preserve">Several submitters (government </w:t>
      </w:r>
      <w:r w:rsidR="00277D7F">
        <w:t xml:space="preserve">agencies </w:t>
      </w:r>
      <w:r w:rsidR="003B326D">
        <w:t xml:space="preserve">and </w:t>
      </w:r>
      <w:r w:rsidR="00D05595">
        <w:t>i</w:t>
      </w:r>
      <w:r w:rsidR="003B326D">
        <w:t>ndustry</w:t>
      </w:r>
      <w:r w:rsidR="00F8222E">
        <w:t>) s</w:t>
      </w:r>
      <w:r w:rsidR="003B326D" w:rsidRPr="003B326D">
        <w:t>upport</w:t>
      </w:r>
      <w:r w:rsidR="00F8222E">
        <w:t>ed</w:t>
      </w:r>
      <w:r w:rsidR="003B326D" w:rsidRPr="003B326D">
        <w:t xml:space="preserve"> FSANZ’s conclusion that AOAC 2017.16 is more comprehensive than current permitted methods</w:t>
      </w:r>
      <w:r w:rsidR="00F8222E">
        <w:t xml:space="preserve"> for total dietary fibre analysis</w:t>
      </w:r>
      <w:r w:rsidR="003B326D" w:rsidRPr="003B326D">
        <w:t>.</w:t>
      </w:r>
      <w:r w:rsidR="003B326D">
        <w:t xml:space="preserve"> </w:t>
      </w:r>
      <w:r>
        <w:t>Generally, the government agencies had concerns with the potential implications of the method</w:t>
      </w:r>
      <w:r w:rsidR="006E61C2">
        <w:t>’</w:t>
      </w:r>
      <w:r>
        <w:t xml:space="preserve">s limitations, while industry fully supported the application and </w:t>
      </w:r>
      <w:r w:rsidR="00DC4AE5">
        <w:t xml:space="preserve">proposed </w:t>
      </w:r>
      <w:r>
        <w:t>draft variation.</w:t>
      </w:r>
    </w:p>
    <w:p w14:paraId="57D092AE" w14:textId="74B32AF9" w:rsidR="00F8222E" w:rsidRDefault="00080600" w:rsidP="003648E6">
      <w:pPr>
        <w:spacing w:before="120" w:after="120"/>
      </w:pPr>
      <w:r>
        <w:t xml:space="preserve">After reviewing submissions and due to the </w:t>
      </w:r>
      <w:r w:rsidR="00AF69AE">
        <w:t>likely</w:t>
      </w:r>
      <w:r>
        <w:t xml:space="preserve"> adoption of AOAC 2017.16 b</w:t>
      </w:r>
      <w:r w:rsidR="00D05595">
        <w:t>y</w:t>
      </w:r>
      <w:r>
        <w:t xml:space="preserve"> Codex, FSANZ undertook </w:t>
      </w:r>
      <w:r w:rsidR="00F8222E">
        <w:t>t</w:t>
      </w:r>
      <w:r w:rsidR="00277D7F">
        <w:t xml:space="preserve">argeted consultation with submitting </w:t>
      </w:r>
      <w:r w:rsidR="00703CA8">
        <w:t>government agencies and key industry representatives.</w:t>
      </w:r>
      <w:r>
        <w:t xml:space="preserve"> FSANZ presented a discussion paper that addressed the key submission concerns (which has formed the basis for the risk management considerations at Section 3 of this report). </w:t>
      </w:r>
      <w:r w:rsidR="00D05595">
        <w:t>There were</w:t>
      </w:r>
      <w:r>
        <w:t xml:space="preserve"> three key outcomes</w:t>
      </w:r>
      <w:r w:rsidR="00D05595">
        <w:t xml:space="preserve"> from the targeted consultation</w:t>
      </w:r>
      <w:r>
        <w:t>:</w:t>
      </w:r>
    </w:p>
    <w:p w14:paraId="67A757B3" w14:textId="56B5F475" w:rsidR="00D05595" w:rsidRPr="00E41137" w:rsidRDefault="00703CA8" w:rsidP="00D40130">
      <w:pPr>
        <w:pStyle w:val="ListParagraph"/>
        <w:widowControl/>
        <w:numPr>
          <w:ilvl w:val="0"/>
          <w:numId w:val="22"/>
        </w:numPr>
        <w:ind w:left="714" w:hanging="357"/>
        <w:contextualSpacing w:val="0"/>
        <w:rPr>
          <w:rFonts w:cs="Arial"/>
          <w:szCs w:val="22"/>
          <w:lang w:bidi="ar-SA"/>
        </w:rPr>
      </w:pPr>
      <w:r>
        <w:rPr>
          <w:rFonts w:cs="Arial"/>
        </w:rPr>
        <w:t xml:space="preserve">Significantly increased comfort </w:t>
      </w:r>
      <w:r w:rsidR="00D05595">
        <w:rPr>
          <w:rFonts w:cs="Arial"/>
        </w:rPr>
        <w:t xml:space="preserve">from all stakeholders </w:t>
      </w:r>
      <w:r>
        <w:rPr>
          <w:rFonts w:cs="Arial"/>
        </w:rPr>
        <w:t xml:space="preserve">in permitting the method without restriction </w:t>
      </w:r>
      <w:r w:rsidR="00AC2108">
        <w:rPr>
          <w:rFonts w:cs="Arial"/>
        </w:rPr>
        <w:t>if Codex adopts AOAC 2017.16 as proposed</w:t>
      </w:r>
      <w:r w:rsidR="00D05595">
        <w:rPr>
          <w:bCs/>
        </w:rPr>
        <w:t>.</w:t>
      </w:r>
    </w:p>
    <w:p w14:paraId="31EF4462" w14:textId="6E0945BC" w:rsidR="00703CA8" w:rsidRDefault="00703CA8" w:rsidP="00D40130">
      <w:pPr>
        <w:pStyle w:val="ListParagraph"/>
        <w:widowControl/>
        <w:numPr>
          <w:ilvl w:val="0"/>
          <w:numId w:val="22"/>
        </w:numPr>
        <w:ind w:left="714" w:hanging="357"/>
        <w:contextualSpacing w:val="0"/>
        <w:rPr>
          <w:rFonts w:cs="Arial"/>
        </w:rPr>
      </w:pPr>
      <w:r>
        <w:rPr>
          <w:rFonts w:cs="Arial"/>
        </w:rPr>
        <w:t xml:space="preserve">Agreement that </w:t>
      </w:r>
      <w:r w:rsidR="002174A1">
        <w:rPr>
          <w:bCs/>
        </w:rPr>
        <w:t xml:space="preserve">AOAC 2017.16 </w:t>
      </w:r>
      <w:r>
        <w:rPr>
          <w:rFonts w:cs="Arial"/>
        </w:rPr>
        <w:t xml:space="preserve">is a more </w:t>
      </w:r>
      <w:r w:rsidR="0091229C">
        <w:rPr>
          <w:rFonts w:cs="Arial"/>
        </w:rPr>
        <w:t xml:space="preserve">comprehensive </w:t>
      </w:r>
      <w:r>
        <w:rPr>
          <w:rFonts w:cs="Arial"/>
        </w:rPr>
        <w:t>method of analysis</w:t>
      </w:r>
      <w:r w:rsidR="002174A1">
        <w:rPr>
          <w:rFonts w:cs="Arial"/>
        </w:rPr>
        <w:t xml:space="preserve"> than current permitted methods,</w:t>
      </w:r>
      <w:r>
        <w:rPr>
          <w:rFonts w:cs="Arial"/>
        </w:rPr>
        <w:t xml:space="preserve"> despite the known </w:t>
      </w:r>
      <w:r w:rsidR="0091229C">
        <w:rPr>
          <w:rFonts w:cs="Arial"/>
        </w:rPr>
        <w:t>limitations</w:t>
      </w:r>
      <w:r>
        <w:rPr>
          <w:rFonts w:cs="Arial"/>
        </w:rPr>
        <w:t xml:space="preserve">. </w:t>
      </w:r>
    </w:p>
    <w:p w14:paraId="3D872F38" w14:textId="61C23604" w:rsidR="00703CA8" w:rsidRPr="00D131A1" w:rsidRDefault="002174A1" w:rsidP="00D40130">
      <w:pPr>
        <w:pStyle w:val="ListParagraph"/>
        <w:widowControl/>
        <w:numPr>
          <w:ilvl w:val="0"/>
          <w:numId w:val="22"/>
        </w:numPr>
        <w:spacing w:after="240"/>
        <w:ind w:left="714" w:hanging="357"/>
        <w:contextualSpacing w:val="0"/>
        <w:rPr>
          <w:rFonts w:cs="Arial"/>
        </w:rPr>
      </w:pPr>
      <w:r>
        <w:rPr>
          <w:rFonts w:cs="Arial"/>
        </w:rPr>
        <w:t>It is important to include f</w:t>
      </w:r>
      <w:r w:rsidR="00D05595">
        <w:rPr>
          <w:rFonts w:cs="Arial"/>
        </w:rPr>
        <w:t>urther</w:t>
      </w:r>
      <w:r w:rsidR="00703CA8">
        <w:rPr>
          <w:rFonts w:cs="Arial"/>
        </w:rPr>
        <w:t xml:space="preserve"> narrative around the </w:t>
      </w:r>
      <w:r w:rsidR="00D05595" w:rsidRPr="00A16F89">
        <w:t>economical and food technology perspective</w:t>
      </w:r>
      <w:r>
        <w:t>s</w:t>
      </w:r>
      <w:r w:rsidR="00D05595">
        <w:rPr>
          <w:rFonts w:cs="Arial"/>
        </w:rPr>
        <w:t xml:space="preserve"> for</w:t>
      </w:r>
      <w:r w:rsidR="00703CA8">
        <w:rPr>
          <w:rFonts w:cs="Arial"/>
        </w:rPr>
        <w:t xml:space="preserve"> adding</w:t>
      </w:r>
      <w:r w:rsidR="00074DBC">
        <w:rPr>
          <w:rFonts w:cs="Arial"/>
        </w:rPr>
        <w:t xml:space="preserve"> (or not adding)</w:t>
      </w:r>
      <w:r w:rsidR="00080600">
        <w:rPr>
          <w:rFonts w:cs="Arial"/>
        </w:rPr>
        <w:t xml:space="preserve"> GOS or IMO to food products for the purpose of </w:t>
      </w:r>
      <w:r w:rsidR="00703CA8">
        <w:rPr>
          <w:rFonts w:cs="Arial"/>
        </w:rPr>
        <w:t>dietary fibre claims.</w:t>
      </w:r>
    </w:p>
    <w:p w14:paraId="4198925A" w14:textId="47F79983" w:rsidR="007A53BF" w:rsidRDefault="007A53BF" w:rsidP="003648E6">
      <w:pPr>
        <w:pStyle w:val="FSTableTitle"/>
        <w:spacing w:before="120" w:after="120"/>
      </w:pPr>
      <w:r>
        <w:t xml:space="preserve">Table 1: Summary of issues </w:t>
      </w:r>
    </w:p>
    <w:tbl>
      <w:tblPr>
        <w:tblStyle w:val="MediumShading1-Accent3"/>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739"/>
        <w:gridCol w:w="1295"/>
        <w:gridCol w:w="6391"/>
      </w:tblGrid>
      <w:tr w:rsidR="00B60F6E" w:rsidRPr="00134FCC" w14:paraId="1439185A" w14:textId="77777777" w:rsidTr="005716FD">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680" w:type="dxa"/>
            <w:tcBorders>
              <w:top w:val="none" w:sz="0" w:space="0" w:color="auto"/>
              <w:left w:val="none" w:sz="0" w:space="0" w:color="auto"/>
              <w:bottom w:val="none" w:sz="0" w:space="0" w:color="auto"/>
              <w:right w:val="none" w:sz="0" w:space="0" w:color="auto"/>
            </w:tcBorders>
            <w:vAlign w:val="center"/>
          </w:tcPr>
          <w:p w14:paraId="2D90D5C1" w14:textId="77777777" w:rsidR="00B60F6E" w:rsidRPr="00134FCC" w:rsidRDefault="00B60F6E" w:rsidP="005716FD">
            <w:pPr>
              <w:pStyle w:val="FSTableHeading"/>
              <w:ind w:left="720"/>
              <w:rPr>
                <w:b/>
                <w:sz w:val="22"/>
              </w:rPr>
            </w:pPr>
          </w:p>
        </w:tc>
        <w:tc>
          <w:tcPr>
            <w:tcW w:w="5739" w:type="dxa"/>
            <w:tcBorders>
              <w:top w:val="none" w:sz="0" w:space="0" w:color="auto"/>
              <w:left w:val="none" w:sz="0" w:space="0" w:color="auto"/>
              <w:bottom w:val="none" w:sz="0" w:space="0" w:color="auto"/>
              <w:right w:val="none" w:sz="0" w:space="0" w:color="auto"/>
            </w:tcBorders>
          </w:tcPr>
          <w:p w14:paraId="16389AE8" w14:textId="4F5C936E" w:rsidR="00B60F6E" w:rsidRPr="00DC4AE5" w:rsidRDefault="00B60F6E" w:rsidP="00B13F05">
            <w:pPr>
              <w:pStyle w:val="FSTableHeading"/>
              <w:cnfStyle w:val="100000000000" w:firstRow="1" w:lastRow="0" w:firstColumn="0" w:lastColumn="0" w:oddVBand="0" w:evenVBand="0" w:oddHBand="0" w:evenHBand="0" w:firstRowFirstColumn="0" w:firstRowLastColumn="0" w:lastRowFirstColumn="0" w:lastRowLastColumn="0"/>
              <w:rPr>
                <w:b/>
                <w:sz w:val="22"/>
              </w:rPr>
            </w:pPr>
            <w:r w:rsidRPr="00DC4AE5">
              <w:rPr>
                <w:b/>
                <w:sz w:val="22"/>
              </w:rPr>
              <w:t>Issue</w:t>
            </w:r>
          </w:p>
        </w:tc>
        <w:tc>
          <w:tcPr>
            <w:tcW w:w="1295" w:type="dxa"/>
            <w:tcBorders>
              <w:top w:val="none" w:sz="0" w:space="0" w:color="auto"/>
              <w:left w:val="none" w:sz="0" w:space="0" w:color="auto"/>
              <w:bottom w:val="none" w:sz="0" w:space="0" w:color="auto"/>
              <w:right w:val="none" w:sz="0" w:space="0" w:color="auto"/>
            </w:tcBorders>
          </w:tcPr>
          <w:p w14:paraId="149B66EA" w14:textId="77777777" w:rsidR="00B60F6E" w:rsidRPr="00134FCC" w:rsidRDefault="00B60F6E" w:rsidP="00B13F05">
            <w:pPr>
              <w:pStyle w:val="FSTableHeading"/>
              <w:cnfStyle w:val="100000000000" w:firstRow="1" w:lastRow="0" w:firstColumn="0" w:lastColumn="0" w:oddVBand="0" w:evenVBand="0" w:oddHBand="0" w:evenHBand="0" w:firstRowFirstColumn="0" w:firstRowLastColumn="0" w:lastRowFirstColumn="0" w:lastRowLastColumn="0"/>
              <w:rPr>
                <w:b/>
                <w:sz w:val="22"/>
              </w:rPr>
            </w:pPr>
            <w:r w:rsidRPr="00134FCC">
              <w:rPr>
                <w:b/>
                <w:sz w:val="22"/>
              </w:rPr>
              <w:t>Raised by</w:t>
            </w:r>
          </w:p>
        </w:tc>
        <w:tc>
          <w:tcPr>
            <w:tcW w:w="6391" w:type="dxa"/>
            <w:tcBorders>
              <w:top w:val="none" w:sz="0" w:space="0" w:color="auto"/>
              <w:left w:val="none" w:sz="0" w:space="0" w:color="auto"/>
              <w:bottom w:val="none" w:sz="0" w:space="0" w:color="auto"/>
              <w:right w:val="none" w:sz="0" w:space="0" w:color="auto"/>
            </w:tcBorders>
          </w:tcPr>
          <w:p w14:paraId="28C7CE11" w14:textId="03C1BF79" w:rsidR="00B60F6E" w:rsidRPr="00134FCC" w:rsidRDefault="00B60F6E" w:rsidP="007A3D58">
            <w:pPr>
              <w:pStyle w:val="FSTableHeading"/>
              <w:cnfStyle w:val="100000000000" w:firstRow="1" w:lastRow="0" w:firstColumn="0" w:lastColumn="0" w:oddVBand="0" w:evenVBand="0" w:oddHBand="0" w:evenHBand="0" w:firstRowFirstColumn="0" w:firstRowLastColumn="0" w:lastRowFirstColumn="0" w:lastRowLastColumn="0"/>
              <w:rPr>
                <w:b/>
                <w:sz w:val="22"/>
              </w:rPr>
            </w:pPr>
            <w:r w:rsidRPr="00134FCC">
              <w:rPr>
                <w:b/>
                <w:sz w:val="22"/>
              </w:rPr>
              <w:t xml:space="preserve">FSANZ response </w:t>
            </w:r>
          </w:p>
        </w:tc>
      </w:tr>
      <w:tr w:rsidR="00B60F6E" w:rsidRPr="00134FCC" w14:paraId="45BBDE14" w14:textId="77777777" w:rsidTr="005716FD">
        <w:trPr>
          <w:cnfStyle w:val="000000100000" w:firstRow="0" w:lastRow="0" w:firstColumn="0" w:lastColumn="0" w:oddVBand="0" w:evenVBand="0" w:oddHBand="1" w:evenHBand="0" w:firstRowFirstColumn="0" w:firstRowLastColumn="0" w:lastRowFirstColumn="0" w:lastRowLastColumn="0"/>
          <w:cantSplit/>
          <w:trHeight w:val="412"/>
        </w:trPr>
        <w:tc>
          <w:tcPr>
            <w:cnfStyle w:val="001000000000" w:firstRow="0" w:lastRow="0" w:firstColumn="1" w:lastColumn="0" w:oddVBand="0" w:evenVBand="0" w:oddHBand="0" w:evenHBand="0" w:firstRowFirstColumn="0" w:firstRowLastColumn="0" w:lastRowFirstColumn="0" w:lastRowLastColumn="0"/>
            <w:tcW w:w="680" w:type="dxa"/>
            <w:tcBorders>
              <w:bottom w:val="single" w:sz="4" w:space="0" w:color="auto"/>
              <w:right w:val="none" w:sz="0" w:space="0" w:color="auto"/>
            </w:tcBorders>
            <w:vAlign w:val="center"/>
          </w:tcPr>
          <w:p w14:paraId="613F2697" w14:textId="77777777" w:rsidR="00B60F6E" w:rsidRPr="00134FCC" w:rsidRDefault="00B60F6E" w:rsidP="005716FD">
            <w:pPr>
              <w:pStyle w:val="FSTableHeading"/>
              <w:ind w:left="720"/>
              <w:rPr>
                <w:b/>
              </w:rPr>
            </w:pPr>
          </w:p>
        </w:tc>
        <w:tc>
          <w:tcPr>
            <w:tcW w:w="13425" w:type="dxa"/>
            <w:gridSpan w:val="3"/>
            <w:tcBorders>
              <w:left w:val="none" w:sz="0" w:space="0" w:color="auto"/>
              <w:bottom w:val="single" w:sz="4" w:space="0" w:color="auto"/>
            </w:tcBorders>
            <w:vAlign w:val="center"/>
          </w:tcPr>
          <w:p w14:paraId="47A2A5B5" w14:textId="085C8AA2" w:rsidR="00B60F6E" w:rsidRPr="005963FE" w:rsidRDefault="00B60F6E" w:rsidP="001B0E22">
            <w:pPr>
              <w:pStyle w:val="FSTableHeading"/>
              <w:cnfStyle w:val="000000100000" w:firstRow="0" w:lastRow="0" w:firstColumn="0" w:lastColumn="0" w:oddVBand="0" w:evenVBand="0" w:oddHBand="1" w:evenHBand="0" w:firstRowFirstColumn="0" w:firstRowLastColumn="0" w:lastRowFirstColumn="0" w:lastRowLastColumn="0"/>
            </w:pPr>
            <w:r w:rsidRPr="005963FE">
              <w:t>Regulatory options</w:t>
            </w:r>
          </w:p>
        </w:tc>
      </w:tr>
      <w:tr w:rsidR="00B60F6E" w:rsidRPr="00134FCC" w14:paraId="70470F77" w14:textId="77777777" w:rsidTr="005716FD">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80" w:type="dxa"/>
            <w:tcBorders>
              <w:bottom w:val="single" w:sz="4" w:space="0" w:color="auto"/>
              <w:right w:val="single" w:sz="4" w:space="0" w:color="auto"/>
            </w:tcBorders>
            <w:vAlign w:val="center"/>
          </w:tcPr>
          <w:p w14:paraId="09D37CD5" w14:textId="77777777" w:rsidR="00B60F6E" w:rsidRDefault="00B60F6E" w:rsidP="005716FD">
            <w:pPr>
              <w:pStyle w:val="FSTableText"/>
              <w:numPr>
                <w:ilvl w:val="0"/>
                <w:numId w:val="21"/>
              </w:numPr>
              <w:spacing w:before="120"/>
              <w:rPr>
                <w:b w:val="0"/>
              </w:rPr>
            </w:pPr>
          </w:p>
        </w:tc>
        <w:tc>
          <w:tcPr>
            <w:tcW w:w="5739" w:type="dxa"/>
            <w:tcBorders>
              <w:left w:val="none" w:sz="0" w:space="0" w:color="auto"/>
              <w:bottom w:val="single" w:sz="4" w:space="0" w:color="auto"/>
              <w:right w:val="single" w:sz="4" w:space="0" w:color="auto"/>
            </w:tcBorders>
          </w:tcPr>
          <w:p w14:paraId="620AE27A" w14:textId="78FCC0A5" w:rsidR="00B60F6E" w:rsidRPr="00DC4AE5" w:rsidRDefault="00B60F6E" w:rsidP="000A1206">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sidRPr="00DC4AE5">
              <w:t>Support for a restriction on the use of AOAC 2017.16 on foods that contain GOS or IMO</w:t>
            </w:r>
            <w:r w:rsidRPr="00DC4AE5">
              <w:rPr>
                <w:lang w:val="en-AU"/>
              </w:rPr>
              <w:t xml:space="preserve"> due to concerns that consumers may be misled regarding the total dietary fibre content of foods. It was proposed that a restriction may allow for more accurate reporting of fibre against the definition in the Code and better informed consumers, while allowing analysts to benefit from permissions to use the method.</w:t>
            </w:r>
          </w:p>
          <w:p w14:paraId="569F3EB5" w14:textId="3547B00E" w:rsidR="00B60F6E" w:rsidRPr="00DC4AE5" w:rsidRDefault="00B60F6E" w:rsidP="00080600">
            <w:pPr>
              <w:pStyle w:val="FSTableText"/>
              <w:cnfStyle w:val="000000010000" w:firstRow="0" w:lastRow="0" w:firstColumn="0" w:lastColumn="0" w:oddVBand="0" w:evenVBand="0" w:oddHBand="0" w:evenHBand="1" w:firstRowFirstColumn="0" w:firstRowLastColumn="0" w:lastRowFirstColumn="0" w:lastRowLastColumn="0"/>
            </w:pPr>
            <w:r w:rsidRPr="00DC4AE5">
              <w:lastRenderedPageBreak/>
              <w:t>Some jurisdictions suggested that synthetic analogues of GOS which are added as an ingredient to food for sale could be subtracted from the total dietary fibre value to improve</w:t>
            </w:r>
            <w:r w:rsidR="00DC4AE5">
              <w:t xml:space="preserve"> </w:t>
            </w:r>
            <w:r w:rsidRPr="00DC4AE5">
              <w:t xml:space="preserve">accuracy in </w:t>
            </w:r>
            <w:r w:rsidRPr="00DC4AE5">
              <w:rPr>
                <w:lang w:val="en-AU"/>
              </w:rPr>
              <w:t>reporting of total dietary fibre against the definition in the Code</w:t>
            </w:r>
            <w:r w:rsidRPr="00DC4AE5">
              <w:t xml:space="preserve">. Other jurisdictions stated that this is not a </w:t>
            </w:r>
            <w:r w:rsidRPr="00DC4AE5">
              <w:rPr>
                <w:lang w:val="en-AU"/>
              </w:rPr>
              <w:t>‘metrologically valid’ approach as individual methods are validated and standalone, unless otherwise specified.</w:t>
            </w:r>
          </w:p>
        </w:tc>
        <w:tc>
          <w:tcPr>
            <w:tcW w:w="1295" w:type="dxa"/>
            <w:tcBorders>
              <w:left w:val="single" w:sz="4" w:space="0" w:color="auto"/>
              <w:bottom w:val="single" w:sz="4" w:space="0" w:color="auto"/>
              <w:right w:val="single" w:sz="4" w:space="0" w:color="auto"/>
            </w:tcBorders>
          </w:tcPr>
          <w:p w14:paraId="7D924A40" w14:textId="77777777" w:rsidR="00DE7E50" w:rsidRDefault="005716FD" w:rsidP="005716FD">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Pr>
                <w:lang w:val="en-AU"/>
              </w:rPr>
              <w:lastRenderedPageBreak/>
              <w:t>QLD</w:t>
            </w:r>
            <w:r w:rsidR="00B60F6E">
              <w:rPr>
                <w:lang w:val="en-AU"/>
              </w:rPr>
              <w:t xml:space="preserve"> </w:t>
            </w:r>
            <w:r>
              <w:rPr>
                <w:lang w:val="en-AU"/>
              </w:rPr>
              <w:t>H</w:t>
            </w:r>
            <w:r w:rsidR="00DE7E50">
              <w:rPr>
                <w:lang w:val="en-AU"/>
              </w:rPr>
              <w:t>ealth (QLD)</w:t>
            </w:r>
          </w:p>
          <w:p w14:paraId="1C4494D4" w14:textId="092C24F4" w:rsidR="00DE7E50" w:rsidRDefault="005716FD" w:rsidP="005716FD">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Pr>
                <w:lang w:val="en-AU"/>
              </w:rPr>
              <w:t>NSW</w:t>
            </w:r>
            <w:r w:rsidR="00DE7E50">
              <w:rPr>
                <w:lang w:val="en-AU"/>
              </w:rPr>
              <w:t xml:space="preserve"> Food Authority (NSW)</w:t>
            </w:r>
          </w:p>
          <w:p w14:paraId="69F56E90" w14:textId="7088771A" w:rsidR="005716FD" w:rsidRDefault="005716FD" w:rsidP="005716FD">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Pr>
                <w:lang w:val="en-AU"/>
              </w:rPr>
              <w:t xml:space="preserve">WA </w:t>
            </w:r>
            <w:r>
              <w:rPr>
                <w:lang w:val="en-AU"/>
              </w:rPr>
              <w:lastRenderedPageBreak/>
              <w:t>Department of Health</w:t>
            </w:r>
            <w:r w:rsidR="00DE7E50">
              <w:rPr>
                <w:lang w:val="en-AU"/>
              </w:rPr>
              <w:t xml:space="preserve"> (WA)</w:t>
            </w:r>
          </w:p>
          <w:p w14:paraId="36357E2C" w14:textId="6BF081F7" w:rsidR="00B60F6E" w:rsidRPr="00134FCC" w:rsidRDefault="005716FD" w:rsidP="005716FD">
            <w:pPr>
              <w:pStyle w:val="FSTableText"/>
              <w:spacing w:before="120"/>
              <w:cnfStyle w:val="000000010000" w:firstRow="0" w:lastRow="0" w:firstColumn="0" w:lastColumn="0" w:oddVBand="0" w:evenVBand="0" w:oddHBand="0" w:evenHBand="1" w:firstRowFirstColumn="0" w:firstRowLastColumn="0" w:lastRowFirstColumn="0" w:lastRowLastColumn="0"/>
            </w:pPr>
            <w:r>
              <w:rPr>
                <w:lang w:val="en-AU"/>
              </w:rPr>
              <w:t>NZ Food Safety (NZ)</w:t>
            </w:r>
          </w:p>
        </w:tc>
        <w:tc>
          <w:tcPr>
            <w:tcW w:w="6391" w:type="dxa"/>
            <w:tcBorders>
              <w:left w:val="single" w:sz="4" w:space="0" w:color="auto"/>
              <w:bottom w:val="single" w:sz="4" w:space="0" w:color="auto"/>
            </w:tcBorders>
          </w:tcPr>
          <w:p w14:paraId="6967A5C7" w14:textId="44011026" w:rsidR="00B60F6E"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rsidRPr="00134FCC">
              <w:lastRenderedPageBreak/>
              <w:t xml:space="preserve">FSANZ </w:t>
            </w:r>
            <w:r w:rsidR="000718A6">
              <w:t>acknow</w:t>
            </w:r>
            <w:r w:rsidR="0006386D">
              <w:t>l</w:t>
            </w:r>
            <w:r w:rsidR="000718A6">
              <w:t>edges this suggestion and</w:t>
            </w:r>
            <w:r w:rsidR="00080600">
              <w:t>, as noted above, has</w:t>
            </w:r>
            <w:r w:rsidR="000D0DB4">
              <w:t xml:space="preserve"> </w:t>
            </w:r>
            <w:r w:rsidRPr="00134FCC">
              <w:t xml:space="preserve">consulted </w:t>
            </w:r>
            <w:r>
              <w:t xml:space="preserve">further </w:t>
            </w:r>
            <w:r w:rsidRPr="00134FCC">
              <w:t>with submitting jurisdictions</w:t>
            </w:r>
            <w:r>
              <w:t xml:space="preserve"> and industry representatives</w:t>
            </w:r>
            <w:r w:rsidRPr="00134FCC">
              <w:t xml:space="preserve"> </w:t>
            </w:r>
            <w:r>
              <w:t xml:space="preserve">regarding </w:t>
            </w:r>
            <w:r w:rsidRPr="00134FCC">
              <w:t>the practicality</w:t>
            </w:r>
            <w:r>
              <w:t xml:space="preserve"> and validity</w:t>
            </w:r>
            <w:r w:rsidRPr="00134FCC">
              <w:t xml:space="preserve"> of imposing a restriction on AOAC 2017.16.</w:t>
            </w:r>
          </w:p>
          <w:p w14:paraId="367A32A1" w14:textId="77777777" w:rsidR="0091229C" w:rsidRDefault="000718A6"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t xml:space="preserve">After considering the information provided during this consultation and for reasons set out in </w:t>
            </w:r>
            <w:r>
              <w:rPr>
                <w:bCs/>
              </w:rPr>
              <w:t>S</w:t>
            </w:r>
            <w:r w:rsidRPr="00EF7C0E">
              <w:rPr>
                <w:bCs/>
              </w:rPr>
              <w:t xml:space="preserve">ection </w:t>
            </w:r>
            <w:r>
              <w:rPr>
                <w:bCs/>
              </w:rPr>
              <w:t>3 of this report</w:t>
            </w:r>
            <w:r>
              <w:t>, FSANZ’s view remains</w:t>
            </w:r>
            <w:r w:rsidR="00B60F6E">
              <w:t xml:space="preserve"> that overall benefits in permitting this method outweigh the </w:t>
            </w:r>
            <w:r w:rsidR="00B60F6E">
              <w:lastRenderedPageBreak/>
              <w:t xml:space="preserve">possibility of a </w:t>
            </w:r>
            <w:r w:rsidR="00B60F6E" w:rsidRPr="00134FCC">
              <w:t>small overestimation of total dietary fibre from the measurement of GOS (and IMO)</w:t>
            </w:r>
            <w:r w:rsidR="00B60F6E">
              <w:t xml:space="preserve"> in limited foods. </w:t>
            </w:r>
          </w:p>
          <w:p w14:paraId="07695DFB" w14:textId="59ABFF9E" w:rsidR="00B60F6E" w:rsidRPr="00134FCC"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rPr>
                <w:bCs/>
              </w:rPr>
              <w:t xml:space="preserve">FSANZ has provided further discussion on this issue under </w:t>
            </w:r>
            <w:r w:rsidRPr="00EF7C0E">
              <w:rPr>
                <w:bCs/>
              </w:rPr>
              <w:t xml:space="preserve">section </w:t>
            </w:r>
            <w:r>
              <w:rPr>
                <w:bCs/>
              </w:rPr>
              <w:t>3 of this report.</w:t>
            </w:r>
          </w:p>
        </w:tc>
      </w:tr>
      <w:tr w:rsidR="00B60F6E" w:rsidRPr="00134FCC" w14:paraId="307015DE" w14:textId="77777777" w:rsidTr="005716F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80" w:type="dxa"/>
            <w:tcBorders>
              <w:bottom w:val="single" w:sz="4" w:space="0" w:color="auto"/>
              <w:right w:val="single" w:sz="4" w:space="0" w:color="auto"/>
            </w:tcBorders>
            <w:vAlign w:val="center"/>
          </w:tcPr>
          <w:p w14:paraId="658D6FA1" w14:textId="77777777" w:rsidR="00B60F6E" w:rsidRPr="00134FCC" w:rsidRDefault="00B60F6E" w:rsidP="005716FD">
            <w:pPr>
              <w:pStyle w:val="FSTableText"/>
              <w:numPr>
                <w:ilvl w:val="0"/>
                <w:numId w:val="21"/>
              </w:numPr>
              <w:spacing w:before="120"/>
              <w:jc w:val="center"/>
              <w:rPr>
                <w:b w:val="0"/>
              </w:rPr>
            </w:pPr>
          </w:p>
        </w:tc>
        <w:tc>
          <w:tcPr>
            <w:tcW w:w="5739" w:type="dxa"/>
            <w:tcBorders>
              <w:left w:val="single" w:sz="4" w:space="0" w:color="auto"/>
              <w:bottom w:val="single" w:sz="4" w:space="0" w:color="auto"/>
              <w:right w:val="single" w:sz="4" w:space="0" w:color="auto"/>
            </w:tcBorders>
          </w:tcPr>
          <w:p w14:paraId="71294BA7" w14:textId="173EF6C4" w:rsidR="00B60F6E" w:rsidRPr="00DC4AE5" w:rsidRDefault="00B60F6E" w:rsidP="000A1206">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DC4AE5">
              <w:t xml:space="preserve">FSANZ’s justification for accepting a potential overestimation of dietary fibre from GOS and/or IMO was not supported for various reasons: </w:t>
            </w:r>
          </w:p>
          <w:p w14:paraId="58483695" w14:textId="77777777" w:rsidR="00B60F6E" w:rsidRPr="00DC4AE5" w:rsidRDefault="00B60F6E" w:rsidP="000A1206">
            <w:pPr>
              <w:pStyle w:val="FSTableText"/>
              <w:numPr>
                <w:ilvl w:val="0"/>
                <w:numId w:val="17"/>
              </w:numPr>
              <w:spacing w:before="120" w:after="120"/>
              <w:cnfStyle w:val="000000100000" w:firstRow="0" w:lastRow="0" w:firstColumn="0" w:lastColumn="0" w:oddVBand="0" w:evenVBand="0" w:oddHBand="1" w:evenHBand="0" w:firstRowFirstColumn="0" w:firstRowLastColumn="0" w:lastRowFirstColumn="0" w:lastRowLastColumn="0"/>
            </w:pPr>
            <w:r w:rsidRPr="00DC4AE5">
              <w:rPr>
                <w:lang w:val="en-AU"/>
              </w:rPr>
              <w:t>Overestimation of total dietary fibre is not the same as an underestimation. Overestimation has a higher risk of misleading consumers on potential health effects of a food and enabling products to make claims.</w:t>
            </w:r>
          </w:p>
          <w:p w14:paraId="1E708A24" w14:textId="7AD33AF5" w:rsidR="00B60F6E" w:rsidRPr="00DC4AE5" w:rsidRDefault="00B60F6E" w:rsidP="000A1206">
            <w:pPr>
              <w:pStyle w:val="FSTableText"/>
              <w:numPr>
                <w:ilvl w:val="0"/>
                <w:numId w:val="17"/>
              </w:numPr>
              <w:spacing w:before="120" w:after="120"/>
              <w:cnfStyle w:val="000000100000" w:firstRow="0" w:lastRow="0" w:firstColumn="0" w:lastColumn="0" w:oddVBand="0" w:evenVBand="0" w:oddHBand="1" w:evenHBand="0" w:firstRowFirstColumn="0" w:firstRowLastColumn="0" w:lastRowFirstColumn="0" w:lastRowLastColumn="0"/>
            </w:pPr>
            <w:r w:rsidRPr="00DC4AE5">
              <w:t>There is the potential for industry to ‘method shop’ to derive an inflated dietary fibre figure.</w:t>
            </w:r>
          </w:p>
          <w:p w14:paraId="15F2C3B0" w14:textId="79769AE0" w:rsidR="00B60F6E" w:rsidRPr="00DC4AE5" w:rsidRDefault="00B60F6E" w:rsidP="000A1206">
            <w:pPr>
              <w:pStyle w:val="FSTableText"/>
              <w:numPr>
                <w:ilvl w:val="0"/>
                <w:numId w:val="17"/>
              </w:numPr>
              <w:spacing w:before="120" w:after="120"/>
              <w:cnfStyle w:val="000000100000" w:firstRow="0" w:lastRow="0" w:firstColumn="0" w:lastColumn="0" w:oddVBand="0" w:evenVBand="0" w:oddHBand="1" w:evenHBand="0" w:firstRowFirstColumn="0" w:firstRowLastColumn="0" w:lastRowFirstColumn="0" w:lastRowLastColumn="0"/>
            </w:pPr>
            <w:r w:rsidRPr="00DC4AE5">
              <w:t>Existing</w:t>
            </w:r>
            <w:r w:rsidRPr="00DC4AE5">
              <w:rPr>
                <w:lang w:val="en-AU"/>
              </w:rPr>
              <w:t xml:space="preserve"> limitations of other methods</w:t>
            </w:r>
            <w:r w:rsidRPr="00DC4AE5">
              <w:t xml:space="preserve"> are not justification for permitting a new method without restriction.</w:t>
            </w:r>
          </w:p>
        </w:tc>
        <w:tc>
          <w:tcPr>
            <w:tcW w:w="1295" w:type="dxa"/>
            <w:tcBorders>
              <w:left w:val="single" w:sz="4" w:space="0" w:color="auto"/>
              <w:bottom w:val="single" w:sz="4" w:space="0" w:color="auto"/>
              <w:right w:val="single" w:sz="4" w:space="0" w:color="auto"/>
            </w:tcBorders>
          </w:tcPr>
          <w:p w14:paraId="288160B1" w14:textId="77777777" w:rsidR="00DE7E50" w:rsidRDefault="00B60F6E" w:rsidP="00DE7E50">
            <w:pPr>
              <w:pStyle w:val="FSTableText"/>
              <w:spacing w:before="120"/>
              <w:cnfStyle w:val="000000100000" w:firstRow="0" w:lastRow="0" w:firstColumn="0" w:lastColumn="0" w:oddVBand="0" w:evenVBand="0" w:oddHBand="1" w:evenHBand="0" w:firstRowFirstColumn="0" w:firstRowLastColumn="0" w:lastRowFirstColumn="0" w:lastRowLastColumn="0"/>
            </w:pPr>
            <w:r>
              <w:t>QLD</w:t>
            </w:r>
          </w:p>
          <w:p w14:paraId="02BC9304" w14:textId="77777777" w:rsidR="00DE7E50" w:rsidRDefault="00B60F6E" w:rsidP="00DE7E50">
            <w:pPr>
              <w:pStyle w:val="FSTableText"/>
              <w:spacing w:before="120"/>
              <w:cnfStyle w:val="000000100000" w:firstRow="0" w:lastRow="0" w:firstColumn="0" w:lastColumn="0" w:oddVBand="0" w:evenVBand="0" w:oddHBand="1" w:evenHBand="0" w:firstRowFirstColumn="0" w:firstRowLastColumn="0" w:lastRowFirstColumn="0" w:lastRowLastColumn="0"/>
            </w:pPr>
            <w:r>
              <w:t>NSW</w:t>
            </w:r>
          </w:p>
          <w:p w14:paraId="69EB760B" w14:textId="77777777" w:rsidR="00DE7E50" w:rsidRDefault="00B60F6E" w:rsidP="00DE7E50">
            <w:pPr>
              <w:pStyle w:val="FSTableText"/>
              <w:spacing w:before="120"/>
              <w:cnfStyle w:val="000000100000" w:firstRow="0" w:lastRow="0" w:firstColumn="0" w:lastColumn="0" w:oddVBand="0" w:evenVBand="0" w:oddHBand="1" w:evenHBand="0" w:firstRowFirstColumn="0" w:firstRowLastColumn="0" w:lastRowFirstColumn="0" w:lastRowLastColumn="0"/>
            </w:pPr>
            <w:r>
              <w:t>WA</w:t>
            </w:r>
          </w:p>
          <w:p w14:paraId="1D49EEE9" w14:textId="65D66CDA" w:rsidR="00B60F6E" w:rsidRPr="00134FCC" w:rsidRDefault="00DE7E50" w:rsidP="00DE7E50">
            <w:pPr>
              <w:pStyle w:val="FSTableText"/>
              <w:spacing w:before="120"/>
              <w:cnfStyle w:val="000000100000" w:firstRow="0" w:lastRow="0" w:firstColumn="0" w:lastColumn="0" w:oddVBand="0" w:evenVBand="0" w:oddHBand="1" w:evenHBand="0" w:firstRowFirstColumn="0" w:firstRowLastColumn="0" w:lastRowFirstColumn="0" w:lastRowLastColumn="0"/>
            </w:pPr>
            <w:r w:rsidRPr="00676EFE">
              <w:t xml:space="preserve">Victorian </w:t>
            </w:r>
            <w:r w:rsidR="00676EFE" w:rsidRPr="00676EFE">
              <w:t>Department of Health and the Victorian Department of Jobs, Precincts and Regions</w:t>
            </w:r>
            <w:r w:rsidR="00676EFE">
              <w:t xml:space="preserve"> (VIC)</w:t>
            </w:r>
          </w:p>
        </w:tc>
        <w:tc>
          <w:tcPr>
            <w:tcW w:w="6391" w:type="dxa"/>
            <w:tcBorders>
              <w:left w:val="single" w:sz="4" w:space="0" w:color="auto"/>
              <w:bottom w:val="single" w:sz="4" w:space="0" w:color="auto"/>
            </w:tcBorders>
          </w:tcPr>
          <w:p w14:paraId="0AB6326D" w14:textId="2243DB03" w:rsidR="00B60F6E" w:rsidRDefault="00B60F6E" w:rsidP="000A1206">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134FCC">
              <w:t>FSANZ acknowledge</w:t>
            </w:r>
            <w:r>
              <w:t>s the</w:t>
            </w:r>
            <w:r w:rsidRPr="00134FCC">
              <w:t xml:space="preserve"> concerns raised and</w:t>
            </w:r>
            <w:r>
              <w:t xml:space="preserve"> sought further information from industry regarding the extent of the issues raised, including cost data and use</w:t>
            </w:r>
            <w:r w:rsidRPr="00134FCC">
              <w:t xml:space="preserve"> of GOS and IMO in the Australian and New Zealand food supply</w:t>
            </w:r>
          </w:p>
          <w:p w14:paraId="620FD88C" w14:textId="3F0F47C8" w:rsidR="00B60F6E" w:rsidRDefault="00B60F6E" w:rsidP="000A1206">
            <w:pPr>
              <w:pStyle w:val="FSTableText"/>
              <w:spacing w:before="120" w:after="120"/>
              <w:cnfStyle w:val="000000100000" w:firstRow="0" w:lastRow="0" w:firstColumn="0" w:lastColumn="0" w:oddVBand="0" w:evenVBand="0" w:oddHBand="1" w:evenHBand="0" w:firstRowFirstColumn="0" w:firstRowLastColumn="0" w:lastRowFirstColumn="0" w:lastRowLastColumn="0"/>
            </w:pPr>
            <w:r>
              <w:t xml:space="preserve">FSANZ has also given greater consideration to the </w:t>
            </w:r>
            <w:r w:rsidRPr="00134FCC">
              <w:t xml:space="preserve">limitations </w:t>
            </w:r>
            <w:r>
              <w:t>in</w:t>
            </w:r>
            <w:r w:rsidRPr="00134FCC">
              <w:t xml:space="preserve"> the </w:t>
            </w:r>
            <w:r>
              <w:t xml:space="preserve">Code’s </w:t>
            </w:r>
            <w:r w:rsidRPr="00134FCC">
              <w:t>definition of dietary fibre</w:t>
            </w:r>
            <w:r>
              <w:t xml:space="preserve"> based on its original intent</w:t>
            </w:r>
            <w:r w:rsidRPr="00134FCC">
              <w:t xml:space="preserve">, international adoption of GOS </w:t>
            </w:r>
            <w:r>
              <w:t>(</w:t>
            </w:r>
            <w:r w:rsidRPr="00134FCC">
              <w:t xml:space="preserve">and IMO in some countries) </w:t>
            </w:r>
            <w:r>
              <w:t xml:space="preserve">as a dietary fibre, and the advantages of </w:t>
            </w:r>
            <w:r w:rsidRPr="00134FCC">
              <w:t>AOAC 2017.16</w:t>
            </w:r>
            <w:r>
              <w:t xml:space="preserve"> </w:t>
            </w:r>
            <w:r w:rsidRPr="00134FCC">
              <w:t>compared to current permitted methods of analysis in the Code</w:t>
            </w:r>
            <w:r>
              <w:t>.</w:t>
            </w:r>
          </w:p>
          <w:p w14:paraId="78F37F85" w14:textId="12D65C49" w:rsidR="00B60F6E" w:rsidRPr="00134FCC" w:rsidRDefault="00A16F89" w:rsidP="000A1206">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A16F89">
              <w:t>For</w:t>
            </w:r>
            <w:r>
              <w:t xml:space="preserve"> the reasons stated in section 3 of this report and section 4.4 of SD1 (including information and data provided by industry)</w:t>
            </w:r>
            <w:r w:rsidRPr="00A16F89">
              <w:t>, FSANZ is sat</w:t>
            </w:r>
            <w:r>
              <w:t xml:space="preserve">isfied that overestimation </w:t>
            </w:r>
            <w:r w:rsidRPr="00A16F89">
              <w:t xml:space="preserve">will not lead to consumers being misled in terms of </w:t>
            </w:r>
            <w:r w:rsidR="000D0DB4">
              <w:t>dietary fibre</w:t>
            </w:r>
            <w:r w:rsidRPr="00A16F89">
              <w:t xml:space="preserve"> in food</w:t>
            </w:r>
            <w:r>
              <w:t xml:space="preserve">. </w:t>
            </w:r>
            <w:r w:rsidRPr="00A16F89">
              <w:t xml:space="preserve">From both an economical and food technology perspective, the likelihood of GOS and/or IMO being added to inflate dietary fibre values is not supported by </w:t>
            </w:r>
            <w:r>
              <w:t>information</w:t>
            </w:r>
            <w:r w:rsidRPr="00A16F89">
              <w:t xml:space="preserve"> provided by industry, usage levels or costing data</w:t>
            </w:r>
            <w:r>
              <w:t xml:space="preserve">. </w:t>
            </w:r>
          </w:p>
        </w:tc>
      </w:tr>
      <w:tr w:rsidR="00B60F6E" w:rsidRPr="00134FCC" w14:paraId="1AB7700A" w14:textId="77777777" w:rsidTr="005716FD">
        <w:trPr>
          <w:cnfStyle w:val="000000010000" w:firstRow="0" w:lastRow="0" w:firstColumn="0" w:lastColumn="0" w:oddVBand="0" w:evenVBand="0" w:oddHBand="0" w:evenHBand="1" w:firstRowFirstColumn="0" w:firstRowLastColumn="0" w:lastRowFirstColumn="0" w:lastRowLastColumn="0"/>
          <w:cantSplit/>
          <w:trHeight w:val="688"/>
        </w:trPr>
        <w:tc>
          <w:tcPr>
            <w:cnfStyle w:val="001000000000" w:firstRow="0" w:lastRow="0" w:firstColumn="1" w:lastColumn="0" w:oddVBand="0" w:evenVBand="0" w:oddHBand="0" w:evenHBand="0" w:firstRowFirstColumn="0" w:firstRowLastColumn="0" w:lastRowFirstColumn="0" w:lastRowLastColumn="0"/>
            <w:tcW w:w="680" w:type="dxa"/>
            <w:tcBorders>
              <w:bottom w:val="single" w:sz="4" w:space="0" w:color="auto"/>
              <w:right w:val="single" w:sz="4" w:space="0" w:color="auto"/>
            </w:tcBorders>
            <w:vAlign w:val="center"/>
          </w:tcPr>
          <w:p w14:paraId="511A6788" w14:textId="77777777" w:rsidR="00B60F6E" w:rsidRPr="00B60F6E" w:rsidRDefault="00B60F6E" w:rsidP="005716FD">
            <w:pPr>
              <w:pStyle w:val="ListParagraph"/>
              <w:numPr>
                <w:ilvl w:val="0"/>
                <w:numId w:val="21"/>
              </w:numPr>
              <w:spacing w:before="120"/>
              <w:jc w:val="center"/>
              <w:rPr>
                <w:rFonts w:cs="Arial"/>
                <w:sz w:val="20"/>
                <w:szCs w:val="20"/>
              </w:rPr>
            </w:pPr>
          </w:p>
        </w:tc>
        <w:tc>
          <w:tcPr>
            <w:tcW w:w="5739" w:type="dxa"/>
            <w:tcBorders>
              <w:left w:val="none" w:sz="0" w:space="0" w:color="auto"/>
              <w:bottom w:val="single" w:sz="4" w:space="0" w:color="auto"/>
              <w:right w:val="single" w:sz="4" w:space="0" w:color="auto"/>
            </w:tcBorders>
          </w:tcPr>
          <w:p w14:paraId="3F86BD25" w14:textId="605008D6" w:rsidR="00A429AE" w:rsidRPr="00DC4AE5" w:rsidRDefault="00B60F6E" w:rsidP="00FF51B5">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DC4AE5">
              <w:rPr>
                <w:rFonts w:cs="Arial"/>
                <w:sz w:val="20"/>
                <w:szCs w:val="20"/>
              </w:rPr>
              <w:t>In permitting AOAC 2017.16, the purpose for adding GOS as a food ingredient and its use in food</w:t>
            </w:r>
            <w:r w:rsidR="00FF51B5">
              <w:rPr>
                <w:rFonts w:cs="Arial"/>
                <w:sz w:val="20"/>
                <w:szCs w:val="20"/>
              </w:rPr>
              <w:t>s should be considered further.</w:t>
            </w:r>
          </w:p>
          <w:p w14:paraId="303D10DA" w14:textId="6AD78E54" w:rsidR="00B60F6E" w:rsidRPr="00DC4AE5" w:rsidRDefault="00B60F6E" w:rsidP="00FF51B5">
            <w:pPr>
              <w:spacing w:before="120"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DC4AE5">
              <w:rPr>
                <w:rFonts w:cs="Arial"/>
                <w:sz w:val="20"/>
                <w:szCs w:val="20"/>
              </w:rPr>
              <w:t>It is suggested that the use of GOS in foods has changed from a protective focus and usage increased (since AOAC 2001.03 was gazetted in 2003) with a focus on the functional purposes e.g. prebiotics, sweetener, bulking agent.</w:t>
            </w:r>
          </w:p>
        </w:tc>
        <w:tc>
          <w:tcPr>
            <w:tcW w:w="1295" w:type="dxa"/>
            <w:tcBorders>
              <w:left w:val="single" w:sz="4" w:space="0" w:color="auto"/>
              <w:bottom w:val="single" w:sz="4" w:space="0" w:color="auto"/>
              <w:right w:val="single" w:sz="4" w:space="0" w:color="auto"/>
            </w:tcBorders>
          </w:tcPr>
          <w:p w14:paraId="776D1DE2" w14:textId="77777777" w:rsidR="00DE7E50" w:rsidRDefault="00B60F6E" w:rsidP="00DE7E50">
            <w:pPr>
              <w:pStyle w:val="FSTableText"/>
              <w:spacing w:before="120"/>
              <w:cnfStyle w:val="000000010000" w:firstRow="0" w:lastRow="0" w:firstColumn="0" w:lastColumn="0" w:oddVBand="0" w:evenVBand="0" w:oddHBand="0" w:evenHBand="1" w:firstRowFirstColumn="0" w:firstRowLastColumn="0" w:lastRowFirstColumn="0" w:lastRowLastColumn="0"/>
            </w:pPr>
            <w:r w:rsidRPr="00134FCC">
              <w:t>QL</w:t>
            </w:r>
            <w:r w:rsidR="00DE7E50">
              <w:t>D</w:t>
            </w:r>
          </w:p>
          <w:p w14:paraId="31BC3AE3" w14:textId="0C6CD553" w:rsidR="00B60F6E" w:rsidRPr="00134FCC" w:rsidRDefault="00B60F6E" w:rsidP="00DE7E50">
            <w:pPr>
              <w:pStyle w:val="FSTableText"/>
              <w:spacing w:before="120"/>
              <w:cnfStyle w:val="000000010000" w:firstRow="0" w:lastRow="0" w:firstColumn="0" w:lastColumn="0" w:oddVBand="0" w:evenVBand="0" w:oddHBand="0" w:evenHBand="1" w:firstRowFirstColumn="0" w:firstRowLastColumn="0" w:lastRowFirstColumn="0" w:lastRowLastColumn="0"/>
            </w:pPr>
            <w:r w:rsidRPr="00134FCC">
              <w:t>NSW</w:t>
            </w:r>
          </w:p>
        </w:tc>
        <w:tc>
          <w:tcPr>
            <w:tcW w:w="6391" w:type="dxa"/>
            <w:tcBorders>
              <w:left w:val="single" w:sz="4" w:space="0" w:color="auto"/>
              <w:bottom w:val="single" w:sz="4" w:space="0" w:color="auto"/>
            </w:tcBorders>
          </w:tcPr>
          <w:p w14:paraId="36339A1A" w14:textId="45DFAF3E" w:rsidR="00B60F6E" w:rsidRPr="00134FCC"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rsidRPr="00134FCC">
              <w:t>FSANZ acknowledge</w:t>
            </w:r>
            <w:r>
              <w:t xml:space="preserve">s </w:t>
            </w:r>
            <w:r w:rsidR="00F215E4">
              <w:t>this</w:t>
            </w:r>
            <w:r w:rsidR="00F215E4" w:rsidRPr="00134FCC">
              <w:t xml:space="preserve"> </w:t>
            </w:r>
            <w:r w:rsidRPr="00134FCC">
              <w:t>concern raised and</w:t>
            </w:r>
            <w:r>
              <w:t xml:space="preserve"> sought further information from industry regarding the use</w:t>
            </w:r>
            <w:r w:rsidRPr="00134FCC">
              <w:t xml:space="preserve"> of GOS and IMO in the Australian and New Zealand food supply.</w:t>
            </w:r>
            <w:r w:rsidR="0021797F">
              <w:t xml:space="preserve"> GOS is used mainly as a prebiotic and IMO is used as a low calorie sweetener with a prebiotic effect.</w:t>
            </w:r>
          </w:p>
          <w:p w14:paraId="2039B030" w14:textId="033D9F36" w:rsidR="00B60F6E"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rsidRPr="00134FCC">
              <w:t>Based on available data</w:t>
            </w:r>
            <w:r w:rsidR="0021797F">
              <w:t xml:space="preserve"> from industry</w:t>
            </w:r>
            <w:r>
              <w:t xml:space="preserve">, </w:t>
            </w:r>
            <w:r w:rsidRPr="00134FCC">
              <w:t xml:space="preserve">FSANZ </w:t>
            </w:r>
            <w:r>
              <w:t>reaffirmed its conclusions that</w:t>
            </w:r>
            <w:r w:rsidRPr="00134FCC">
              <w:t xml:space="preserve"> GOS and IMO are not added to many foods in Australia and New Zealand, w</w:t>
            </w:r>
            <w:r>
              <w:t xml:space="preserve">ith </w:t>
            </w:r>
            <w:r w:rsidRPr="00134FCC">
              <w:t xml:space="preserve">cost and </w:t>
            </w:r>
            <w:r>
              <w:t>suitability of use</w:t>
            </w:r>
            <w:r w:rsidRPr="00134FCC">
              <w:t xml:space="preserve"> </w:t>
            </w:r>
            <w:r>
              <w:t xml:space="preserve">both </w:t>
            </w:r>
            <w:r w:rsidRPr="00134FCC">
              <w:t>factors that limit the levels added to products</w:t>
            </w:r>
            <w:r>
              <w:t>.</w:t>
            </w:r>
          </w:p>
          <w:p w14:paraId="18DE1424" w14:textId="660D0279" w:rsidR="00B60F6E" w:rsidRPr="00134FCC" w:rsidRDefault="00A16F89"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t xml:space="preserve">As stated above, FSANZ is satisfied </w:t>
            </w:r>
            <w:r w:rsidR="00B60F6E">
              <w:t xml:space="preserve">this issue </w:t>
            </w:r>
            <w:r w:rsidR="0021797F">
              <w:t xml:space="preserve">is addressed </w:t>
            </w:r>
            <w:r w:rsidR="00B60F6E">
              <w:t>under</w:t>
            </w:r>
            <w:r w:rsidR="00B60F6E" w:rsidRPr="00134FCC">
              <w:t xml:space="preserve"> </w:t>
            </w:r>
            <w:r w:rsidR="00B60F6E" w:rsidRPr="00A02A13">
              <w:t xml:space="preserve">section 3 </w:t>
            </w:r>
            <w:r w:rsidR="00B60F6E">
              <w:t>of this report, and</w:t>
            </w:r>
            <w:r w:rsidR="00B60F6E" w:rsidRPr="00134FCC">
              <w:t xml:space="preserve"> </w:t>
            </w:r>
            <w:r w:rsidR="00B60F6E">
              <w:t>in</w:t>
            </w:r>
            <w:r w:rsidR="00B60F6E" w:rsidRPr="00134FCC">
              <w:t xml:space="preserve"> </w:t>
            </w:r>
            <w:r w:rsidR="0021797F">
              <w:t xml:space="preserve">section 4.4 of the </w:t>
            </w:r>
            <w:r w:rsidR="00B60F6E" w:rsidRPr="00134FCC">
              <w:t>SD1.</w:t>
            </w:r>
            <w:r w:rsidR="00B60F6E" w:rsidRPr="00134FCC" w:rsidDel="008352B7">
              <w:t xml:space="preserve"> </w:t>
            </w:r>
          </w:p>
        </w:tc>
      </w:tr>
      <w:tr w:rsidR="00B60F6E" w:rsidRPr="00134FCC" w14:paraId="029699F1" w14:textId="77777777" w:rsidTr="005716FD">
        <w:trPr>
          <w:cnfStyle w:val="000000100000" w:firstRow="0" w:lastRow="0" w:firstColumn="0" w:lastColumn="0" w:oddVBand="0" w:evenVBand="0" w:oddHBand="1" w:evenHBand="0" w:firstRowFirstColumn="0" w:firstRowLastColumn="0" w:lastRowFirstColumn="0" w:lastRowLastColumn="0"/>
          <w:cantSplit/>
          <w:trHeight w:val="401"/>
        </w:trPr>
        <w:tc>
          <w:tcPr>
            <w:cnfStyle w:val="001000000000" w:firstRow="0" w:lastRow="0" w:firstColumn="1" w:lastColumn="0" w:oddVBand="0" w:evenVBand="0" w:oddHBand="0" w:evenHBand="0" w:firstRowFirstColumn="0" w:firstRowLastColumn="0" w:lastRowFirstColumn="0" w:lastRowLastColumn="0"/>
            <w:tcW w:w="680" w:type="dxa"/>
            <w:tcBorders>
              <w:bottom w:val="single" w:sz="4" w:space="0" w:color="auto"/>
              <w:right w:val="none" w:sz="0" w:space="0" w:color="auto"/>
            </w:tcBorders>
            <w:vAlign w:val="center"/>
          </w:tcPr>
          <w:p w14:paraId="5B84DAE7" w14:textId="77777777" w:rsidR="00B60F6E" w:rsidRPr="001B0E22" w:rsidRDefault="00B60F6E" w:rsidP="005716FD">
            <w:pPr>
              <w:pStyle w:val="FSTableHeading"/>
              <w:ind w:left="720"/>
              <w:rPr>
                <w:b/>
              </w:rPr>
            </w:pPr>
          </w:p>
        </w:tc>
        <w:tc>
          <w:tcPr>
            <w:tcW w:w="13425" w:type="dxa"/>
            <w:gridSpan w:val="3"/>
            <w:tcBorders>
              <w:left w:val="none" w:sz="0" w:space="0" w:color="auto"/>
              <w:bottom w:val="single" w:sz="4" w:space="0" w:color="auto"/>
            </w:tcBorders>
            <w:vAlign w:val="center"/>
          </w:tcPr>
          <w:p w14:paraId="0A51E3A3" w14:textId="7861D066" w:rsidR="00B60F6E" w:rsidRPr="005963FE" w:rsidRDefault="00B60F6E" w:rsidP="001B0E22">
            <w:pPr>
              <w:pStyle w:val="FSTableHeading"/>
              <w:cnfStyle w:val="000000100000" w:firstRow="0" w:lastRow="0" w:firstColumn="0" w:lastColumn="0" w:oddVBand="0" w:evenVBand="0" w:oddHBand="1" w:evenHBand="0" w:firstRowFirstColumn="0" w:firstRowLastColumn="0" w:lastRowFirstColumn="0" w:lastRowLastColumn="0"/>
            </w:pPr>
            <w:r w:rsidRPr="005963FE">
              <w:t>International permissions for AOAC 2017.16</w:t>
            </w:r>
          </w:p>
        </w:tc>
      </w:tr>
      <w:tr w:rsidR="00B60F6E" w:rsidRPr="00134FCC" w14:paraId="124D5317" w14:textId="77777777" w:rsidTr="000A1206">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80" w:type="dxa"/>
            <w:tcBorders>
              <w:right w:val="single" w:sz="4" w:space="0" w:color="auto"/>
            </w:tcBorders>
            <w:vAlign w:val="center"/>
          </w:tcPr>
          <w:p w14:paraId="59920DE6" w14:textId="77777777" w:rsidR="00B60F6E" w:rsidRDefault="00B60F6E" w:rsidP="005716FD">
            <w:pPr>
              <w:pStyle w:val="FSTableText"/>
              <w:numPr>
                <w:ilvl w:val="0"/>
                <w:numId w:val="21"/>
              </w:numPr>
              <w:spacing w:before="120"/>
              <w:jc w:val="center"/>
              <w:rPr>
                <w:b w:val="0"/>
              </w:rPr>
            </w:pPr>
          </w:p>
        </w:tc>
        <w:tc>
          <w:tcPr>
            <w:tcW w:w="5739" w:type="dxa"/>
            <w:tcBorders>
              <w:left w:val="none" w:sz="0" w:space="0" w:color="auto"/>
              <w:right w:val="single" w:sz="4" w:space="0" w:color="auto"/>
            </w:tcBorders>
          </w:tcPr>
          <w:p w14:paraId="1A5EBC92" w14:textId="0EC8D94B" w:rsidR="00B60F6E" w:rsidRPr="00DC4AE5" w:rsidRDefault="00B60F6E" w:rsidP="00FF51B5">
            <w:pPr>
              <w:pStyle w:val="FSTableText"/>
              <w:spacing w:before="120" w:after="120"/>
              <w:cnfStyle w:val="000000010000" w:firstRow="0" w:lastRow="0" w:firstColumn="0" w:lastColumn="0" w:oddVBand="0" w:evenVBand="0" w:oddHBand="0" w:evenHBand="1" w:firstRowFirstColumn="0" w:firstRowLastColumn="0" w:lastRowFirstColumn="0" w:lastRowLastColumn="0"/>
              <w:rPr>
                <w:lang w:val="en-AU"/>
              </w:rPr>
            </w:pPr>
            <w:r w:rsidRPr="00DC4AE5">
              <w:t>Concerns were raised regarding international consistency as AOAC 2017.16 had not been accepted by other international jurisdictions (US, EU or Health Canada) or Codex.</w:t>
            </w:r>
            <w:r w:rsidR="00FF51B5">
              <w:rPr>
                <w:lang w:val="en-AU"/>
              </w:rPr>
              <w:t xml:space="preserve"> </w:t>
            </w:r>
          </w:p>
          <w:p w14:paraId="3F74F725" w14:textId="7527D8A0" w:rsidR="00B60F6E" w:rsidRPr="00DC4AE5" w:rsidRDefault="00B60F6E" w:rsidP="00FF51B5">
            <w:pPr>
              <w:pStyle w:val="FSTableText"/>
              <w:spacing w:before="120" w:after="120"/>
              <w:cnfStyle w:val="000000010000" w:firstRow="0" w:lastRow="0" w:firstColumn="0" w:lastColumn="0" w:oddVBand="0" w:evenVBand="0" w:oddHBand="0" w:evenHBand="1" w:firstRowFirstColumn="0" w:firstRowLastColumn="0" w:lastRowFirstColumn="0" w:lastRowLastColumn="0"/>
            </w:pPr>
            <w:r w:rsidRPr="00DC4AE5">
              <w:rPr>
                <w:lang w:val="en-AU"/>
              </w:rPr>
              <w:t xml:space="preserve">Further information was sought on the implications or benefits on trade if other countries have not accepted AOAC 2017.16, including any potential trade barriers. </w:t>
            </w:r>
          </w:p>
        </w:tc>
        <w:tc>
          <w:tcPr>
            <w:tcW w:w="1295" w:type="dxa"/>
            <w:tcBorders>
              <w:left w:val="single" w:sz="4" w:space="0" w:color="auto"/>
              <w:right w:val="single" w:sz="4" w:space="0" w:color="auto"/>
            </w:tcBorders>
          </w:tcPr>
          <w:p w14:paraId="18877A04" w14:textId="77777777" w:rsidR="00DE7E50" w:rsidRDefault="00B60F6E" w:rsidP="00DE7E50">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Pr>
                <w:lang w:val="en-AU"/>
              </w:rPr>
              <w:t>NSW</w:t>
            </w:r>
          </w:p>
          <w:p w14:paraId="14197DD6" w14:textId="77777777" w:rsidR="00DE7E50" w:rsidRDefault="005716FD" w:rsidP="00DE7E50">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Pr>
                <w:lang w:val="en-AU"/>
              </w:rPr>
              <w:t>WA</w:t>
            </w:r>
          </w:p>
          <w:p w14:paraId="0AA954C9" w14:textId="77777777" w:rsidR="00DE7E50" w:rsidRDefault="005716FD" w:rsidP="00DE7E50">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Pr>
                <w:lang w:val="en-AU"/>
              </w:rPr>
              <w:t>QLD</w:t>
            </w:r>
          </w:p>
          <w:p w14:paraId="053A1293" w14:textId="1216923F" w:rsidR="00B60F6E" w:rsidRPr="00DE7E50" w:rsidRDefault="00B60F6E" w:rsidP="00DE7E50">
            <w:pPr>
              <w:pStyle w:val="FSTableText"/>
              <w:spacing w:before="120"/>
              <w:cnfStyle w:val="000000010000" w:firstRow="0" w:lastRow="0" w:firstColumn="0" w:lastColumn="0" w:oddVBand="0" w:evenVBand="0" w:oddHBand="0" w:evenHBand="1" w:firstRowFirstColumn="0" w:firstRowLastColumn="0" w:lastRowFirstColumn="0" w:lastRowLastColumn="0"/>
              <w:rPr>
                <w:lang w:val="en-AU"/>
              </w:rPr>
            </w:pPr>
            <w:r w:rsidRPr="00134FCC">
              <w:rPr>
                <w:lang w:val="en-AU"/>
              </w:rPr>
              <w:t>VIC</w:t>
            </w:r>
          </w:p>
        </w:tc>
        <w:tc>
          <w:tcPr>
            <w:tcW w:w="6391" w:type="dxa"/>
            <w:tcBorders>
              <w:left w:val="single" w:sz="4" w:space="0" w:color="auto"/>
            </w:tcBorders>
          </w:tcPr>
          <w:p w14:paraId="6A6C1EB6" w14:textId="0BF51F90" w:rsidR="000A1206"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rsidRPr="00134FCC">
              <w:t xml:space="preserve">FSANZ </w:t>
            </w:r>
            <w:r w:rsidR="00F215E4">
              <w:t xml:space="preserve">acknowledges this concern and </w:t>
            </w:r>
            <w:r w:rsidRPr="00134FCC">
              <w:t xml:space="preserve">notes there is </w:t>
            </w:r>
            <w:r w:rsidR="00F215E4">
              <w:t xml:space="preserve">already </w:t>
            </w:r>
            <w:r w:rsidRPr="00134FCC">
              <w:t xml:space="preserve">potentially an existing trade barrier </w:t>
            </w:r>
            <w:r w:rsidR="0021797F">
              <w:t xml:space="preserve">for Australia and New Zealand </w:t>
            </w:r>
            <w:r w:rsidR="00A9654D">
              <w:t>between</w:t>
            </w:r>
            <w:r w:rsidRPr="00134FCC">
              <w:t xml:space="preserve"> countries</w:t>
            </w:r>
            <w:r w:rsidR="00A9654D">
              <w:t xml:space="preserve"> whom</w:t>
            </w:r>
            <w:r w:rsidRPr="00134FCC">
              <w:t xml:space="preserve"> have adopted AOAC 2009.01</w:t>
            </w:r>
            <w:r w:rsidR="0021797F">
              <w:t>,</w:t>
            </w:r>
            <w:r>
              <w:t xml:space="preserve"> which </w:t>
            </w:r>
            <w:r w:rsidR="00A9654D">
              <w:t xml:space="preserve">is </w:t>
            </w:r>
            <w:r>
              <w:t xml:space="preserve">not permitted </w:t>
            </w:r>
            <w:r w:rsidR="000A1206">
              <w:t>by</w:t>
            </w:r>
            <w:r>
              <w:t xml:space="preserve"> the Code</w:t>
            </w:r>
            <w:r w:rsidRPr="00134FCC">
              <w:t xml:space="preserve">. </w:t>
            </w:r>
            <w:r w:rsidR="000A1206">
              <w:t>In permitting</w:t>
            </w:r>
            <w:r w:rsidR="0021797F">
              <w:t xml:space="preserve"> AOAC 2017.16</w:t>
            </w:r>
            <w:r w:rsidR="00E9305C">
              <w:t>,</w:t>
            </w:r>
            <w:r w:rsidR="0021797F">
              <w:t xml:space="preserve"> FSANZ is removing this issue as both methods pick up the same low and high molecular weight dietary fibres (meaning dietary fibre values will be more closely aligned).</w:t>
            </w:r>
            <w:r w:rsidR="00294251">
              <w:t xml:space="preserve"> </w:t>
            </w:r>
          </w:p>
          <w:p w14:paraId="41BC3002" w14:textId="77E566BC" w:rsidR="000A1206" w:rsidRPr="000A1206" w:rsidRDefault="00294251"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t>AOAC 2009.01 may continue to be used by some countries, but as it measures the same low and high molecular weight dietary fibre as AOAC 2017.16, this is not expected to result in significant dietary fibre value variations (</w:t>
            </w:r>
            <w:r w:rsidR="000A1206">
              <w:t xml:space="preserve">it will be </w:t>
            </w:r>
            <w:r>
              <w:t xml:space="preserve">less than the current variation with </w:t>
            </w:r>
            <w:r w:rsidR="000A1206">
              <w:t xml:space="preserve">current permitted methods </w:t>
            </w:r>
            <w:r>
              <w:t>AOAC 985.29 and 991.41).</w:t>
            </w:r>
          </w:p>
          <w:p w14:paraId="0420143E" w14:textId="2EB58D6F" w:rsidR="00B60F6E"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rPr>
                <w:bCs/>
              </w:rPr>
            </w:pPr>
            <w:r w:rsidRPr="00134FCC">
              <w:rPr>
                <w:bCs/>
              </w:rPr>
              <w:t>FSANZ note</w:t>
            </w:r>
            <w:r>
              <w:rPr>
                <w:bCs/>
              </w:rPr>
              <w:t>s</w:t>
            </w:r>
            <w:r w:rsidRPr="00134FCC">
              <w:rPr>
                <w:bCs/>
              </w:rPr>
              <w:t xml:space="preserve"> </w:t>
            </w:r>
            <w:r>
              <w:rPr>
                <w:bCs/>
              </w:rPr>
              <w:t>that during the CFS</w:t>
            </w:r>
            <w:r w:rsidRPr="007A3D58">
              <w:rPr>
                <w:bCs/>
              </w:rPr>
              <w:t xml:space="preserve">, a report by CCMAS (2021) indicated AOAC 2017.16 </w:t>
            </w:r>
            <w:r w:rsidR="00424DB6">
              <w:rPr>
                <w:bCs/>
              </w:rPr>
              <w:t>is supported for</w:t>
            </w:r>
            <w:r w:rsidRPr="007A3D58">
              <w:rPr>
                <w:bCs/>
              </w:rPr>
              <w:t xml:space="preserve"> adop</w:t>
            </w:r>
            <w:r w:rsidR="00424DB6">
              <w:rPr>
                <w:bCs/>
              </w:rPr>
              <w:t>tion</w:t>
            </w:r>
            <w:r w:rsidRPr="003432E8">
              <w:rPr>
                <w:bCs/>
              </w:rPr>
              <w:t xml:space="preserve"> by Codex</w:t>
            </w:r>
            <w:r w:rsidRPr="007A3D58">
              <w:rPr>
                <w:bCs/>
              </w:rPr>
              <w:t xml:space="preserve"> in place of its predecessor, AOAC 2009.01 </w:t>
            </w:r>
            <w:r w:rsidRPr="007A3D58">
              <w:t>at CAC44 (November 2021)</w:t>
            </w:r>
            <w:r w:rsidRPr="007A3D58">
              <w:rPr>
                <w:bCs/>
              </w:rPr>
              <w:t>.</w:t>
            </w:r>
            <w:r w:rsidR="00E9305C">
              <w:rPr>
                <w:bCs/>
              </w:rPr>
              <w:t xml:space="preserve"> </w:t>
            </w:r>
            <w:r w:rsidRPr="0063348A">
              <w:rPr>
                <w:bCs/>
              </w:rPr>
              <w:t xml:space="preserve">FSANZ considers permitting AOAC 2017.16 will promote </w:t>
            </w:r>
            <w:r w:rsidR="00E9305C">
              <w:rPr>
                <w:bCs/>
              </w:rPr>
              <w:t xml:space="preserve">greater </w:t>
            </w:r>
            <w:r w:rsidRPr="0063348A">
              <w:rPr>
                <w:bCs/>
              </w:rPr>
              <w:t>consistency between domestic and international food standards.</w:t>
            </w:r>
          </w:p>
          <w:p w14:paraId="5BB6E3C8" w14:textId="5F74DE30" w:rsidR="00B60F6E" w:rsidRPr="00134FCC" w:rsidRDefault="00480FD0"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t>For the reasons stated above, FSANZ remains satisfied that approval of the method will not itself have an adverse impact on trade.</w:t>
            </w:r>
          </w:p>
        </w:tc>
      </w:tr>
      <w:tr w:rsidR="00B60F6E" w:rsidRPr="00134FCC" w14:paraId="51CB179D" w14:textId="77777777" w:rsidTr="005716FD">
        <w:trPr>
          <w:cnfStyle w:val="000000100000" w:firstRow="0" w:lastRow="0" w:firstColumn="0" w:lastColumn="0" w:oddVBand="0" w:evenVBand="0" w:oddHBand="1" w:evenHBand="0" w:firstRowFirstColumn="0" w:firstRowLastColumn="0" w:lastRowFirstColumn="0" w:lastRowLastColumn="0"/>
          <w:cantSplit/>
          <w:trHeight w:val="688"/>
        </w:trPr>
        <w:tc>
          <w:tcPr>
            <w:cnfStyle w:val="001000000000" w:firstRow="0" w:lastRow="0" w:firstColumn="1" w:lastColumn="0" w:oddVBand="0" w:evenVBand="0" w:oddHBand="0" w:evenHBand="0" w:firstRowFirstColumn="0" w:firstRowLastColumn="0" w:lastRowFirstColumn="0" w:lastRowLastColumn="0"/>
            <w:tcW w:w="680" w:type="dxa"/>
            <w:tcBorders>
              <w:right w:val="single" w:sz="4" w:space="0" w:color="auto"/>
            </w:tcBorders>
            <w:vAlign w:val="center"/>
          </w:tcPr>
          <w:p w14:paraId="7CE48367" w14:textId="77777777" w:rsidR="00B60F6E" w:rsidRPr="00B60F6E" w:rsidRDefault="00B60F6E" w:rsidP="005716FD">
            <w:pPr>
              <w:pStyle w:val="ListParagraph"/>
              <w:numPr>
                <w:ilvl w:val="0"/>
                <w:numId w:val="21"/>
              </w:numPr>
              <w:spacing w:before="120" w:after="120"/>
              <w:jc w:val="center"/>
              <w:rPr>
                <w:rFonts w:cs="Arial"/>
                <w:sz w:val="20"/>
                <w:szCs w:val="20"/>
              </w:rPr>
            </w:pPr>
          </w:p>
        </w:tc>
        <w:tc>
          <w:tcPr>
            <w:tcW w:w="5739" w:type="dxa"/>
            <w:tcBorders>
              <w:left w:val="none" w:sz="0" w:space="0" w:color="auto"/>
              <w:right w:val="single" w:sz="4" w:space="0" w:color="auto"/>
            </w:tcBorders>
          </w:tcPr>
          <w:p w14:paraId="3B794E41" w14:textId="7C4EFA47" w:rsidR="00B60F6E" w:rsidRPr="00DC4AE5" w:rsidRDefault="00B60F6E" w:rsidP="00A02A13">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DC4AE5">
              <w:rPr>
                <w:rFonts w:cs="Arial"/>
                <w:sz w:val="20"/>
                <w:szCs w:val="20"/>
              </w:rPr>
              <w:t xml:space="preserve">At CCNFSDU41, the EU expressed some concerns with </w:t>
            </w:r>
            <w:r w:rsidRPr="00DC4AE5">
              <w:t xml:space="preserve">AOAC 2017.16 </w:t>
            </w:r>
            <w:r w:rsidRPr="00DC4AE5">
              <w:rPr>
                <w:rFonts w:cs="Arial"/>
                <w:sz w:val="20"/>
                <w:szCs w:val="20"/>
              </w:rPr>
              <w:t>and the measurement of dietary fibres which have undetermined health benefits (NFSDU/41 CRD 52).</w:t>
            </w:r>
          </w:p>
        </w:tc>
        <w:tc>
          <w:tcPr>
            <w:tcW w:w="1295" w:type="dxa"/>
            <w:tcBorders>
              <w:left w:val="single" w:sz="4" w:space="0" w:color="auto"/>
              <w:right w:val="single" w:sz="4" w:space="0" w:color="auto"/>
            </w:tcBorders>
          </w:tcPr>
          <w:p w14:paraId="37BBF698" w14:textId="5A1DE04E" w:rsidR="00B60F6E" w:rsidRPr="00134FCC" w:rsidRDefault="00B60F6E" w:rsidP="00BB76AA">
            <w:pPr>
              <w:pStyle w:val="FSTableText"/>
              <w:spacing w:before="120"/>
              <w:cnfStyle w:val="000000100000" w:firstRow="0" w:lastRow="0" w:firstColumn="0" w:lastColumn="0" w:oddVBand="0" w:evenVBand="0" w:oddHBand="1" w:evenHBand="0" w:firstRowFirstColumn="0" w:firstRowLastColumn="0" w:lastRowFirstColumn="0" w:lastRowLastColumn="0"/>
            </w:pPr>
            <w:r w:rsidRPr="00134FCC">
              <w:t>NZ</w:t>
            </w:r>
          </w:p>
        </w:tc>
        <w:tc>
          <w:tcPr>
            <w:tcW w:w="6391" w:type="dxa"/>
            <w:tcBorders>
              <w:left w:val="single" w:sz="4" w:space="0" w:color="auto"/>
            </w:tcBorders>
          </w:tcPr>
          <w:p w14:paraId="25E24142" w14:textId="49B9C81B" w:rsidR="00480FD0" w:rsidRDefault="00B60F6E" w:rsidP="00A02A13">
            <w:pPr>
              <w:pStyle w:val="FSTableText"/>
              <w:spacing w:before="120"/>
              <w:cnfStyle w:val="000000100000" w:firstRow="0" w:lastRow="0" w:firstColumn="0" w:lastColumn="0" w:oddVBand="0" w:evenVBand="0" w:oddHBand="1" w:evenHBand="0" w:firstRowFirstColumn="0" w:firstRowLastColumn="0" w:lastRowFirstColumn="0" w:lastRowLastColumn="0"/>
            </w:pPr>
            <w:r w:rsidRPr="00134FCC">
              <w:t xml:space="preserve">FSANZ acknowledges </w:t>
            </w:r>
            <w:r w:rsidR="000A1206">
              <w:t xml:space="preserve">this concern, however notes </w:t>
            </w:r>
            <w:r w:rsidRPr="00134FCC">
              <w:t xml:space="preserve">the </w:t>
            </w:r>
            <w:r w:rsidR="00424DB6">
              <w:t>EU indicated they would monitor the review of the method by CCMAS, and in the CCMAS (2021) support for the method, nil concerns were raised by the EU.</w:t>
            </w:r>
          </w:p>
          <w:p w14:paraId="79605BA2" w14:textId="20FC6D36" w:rsidR="00B60F6E" w:rsidRDefault="00A32AF8" w:rsidP="00A02A13">
            <w:pPr>
              <w:pStyle w:val="FSTableText"/>
              <w:spacing w:before="120"/>
              <w:cnfStyle w:val="000000100000" w:firstRow="0" w:lastRow="0" w:firstColumn="0" w:lastColumn="0" w:oddVBand="0" w:evenVBand="0" w:oddHBand="1" w:evenHBand="0" w:firstRowFirstColumn="0" w:firstRowLastColumn="0" w:lastRowFirstColumn="0" w:lastRowLastColumn="0"/>
            </w:pPr>
            <w:r>
              <w:t>FSANZ understands</w:t>
            </w:r>
            <w:r w:rsidR="00480FD0">
              <w:t xml:space="preserve"> that there has been long standing contention between what should be considered a dietary fibre, accepted beneficial physiological effects and the level of evidence required to justify an effect</w:t>
            </w:r>
            <w:r w:rsidR="00B60F6E">
              <w:t xml:space="preserve">. </w:t>
            </w:r>
          </w:p>
          <w:p w14:paraId="40EFFD09" w14:textId="4A756C72" w:rsidR="00B60F6E" w:rsidRPr="00134FCC" w:rsidRDefault="00424DB6" w:rsidP="00424DB6">
            <w:pPr>
              <w:pStyle w:val="FSTableText"/>
              <w:spacing w:before="120" w:after="120"/>
              <w:cnfStyle w:val="000000100000" w:firstRow="0" w:lastRow="0" w:firstColumn="0" w:lastColumn="0" w:oddVBand="0" w:evenVBand="0" w:oddHBand="1" w:evenHBand="0" w:firstRowFirstColumn="0" w:firstRowLastColumn="0" w:lastRowFirstColumn="0" w:lastRowLastColumn="0"/>
            </w:pPr>
            <w:r>
              <w:t>As</w:t>
            </w:r>
            <w:r w:rsidR="00A32AF8">
              <w:t xml:space="preserve"> outlined in section 3.2.4 of this report, GOS</w:t>
            </w:r>
            <w:r w:rsidR="00A9654D">
              <w:t xml:space="preserve"> and IMO are accepted as dietary fibre in other countries (including the EU)</w:t>
            </w:r>
            <w:r w:rsidR="00A32AF8">
              <w:t xml:space="preserve"> for </w:t>
            </w:r>
            <w:r w:rsidR="00E9305C">
              <w:t>beneficial physiological</w:t>
            </w:r>
            <w:r w:rsidR="00A32AF8">
              <w:t xml:space="preserve"> effects associated with fermentation</w:t>
            </w:r>
            <w:r w:rsidR="000A1206">
              <w:t>.</w:t>
            </w:r>
            <w:r w:rsidR="00A9654D">
              <w:t xml:space="preserve"> FSANZ</w:t>
            </w:r>
            <w:r w:rsidR="000A1206">
              <w:t xml:space="preserve"> is</w:t>
            </w:r>
            <w:r w:rsidR="00A9654D">
              <w:t xml:space="preserve"> satisfied </w:t>
            </w:r>
            <w:r w:rsidR="00294251">
              <w:t>permitting this method will not negatively impact public health and safety.</w:t>
            </w:r>
          </w:p>
        </w:tc>
      </w:tr>
      <w:tr w:rsidR="00B60F6E" w:rsidRPr="00134FCC" w14:paraId="4345EB4A" w14:textId="77777777" w:rsidTr="005716FD">
        <w:trPr>
          <w:cnfStyle w:val="000000010000" w:firstRow="0" w:lastRow="0" w:firstColumn="0" w:lastColumn="0" w:oddVBand="0" w:evenVBand="0" w:oddHBand="0" w:evenHBand="1" w:firstRowFirstColumn="0" w:firstRowLastColumn="0" w:lastRowFirstColumn="0" w:lastRowLastColumn="0"/>
          <w:cantSplit/>
          <w:trHeight w:val="688"/>
        </w:trPr>
        <w:tc>
          <w:tcPr>
            <w:cnfStyle w:val="001000000000" w:firstRow="0" w:lastRow="0" w:firstColumn="1" w:lastColumn="0" w:oddVBand="0" w:evenVBand="0" w:oddHBand="0" w:evenHBand="0" w:firstRowFirstColumn="0" w:firstRowLastColumn="0" w:lastRowFirstColumn="0" w:lastRowLastColumn="0"/>
            <w:tcW w:w="680" w:type="dxa"/>
            <w:tcBorders>
              <w:right w:val="single" w:sz="4" w:space="0" w:color="auto"/>
            </w:tcBorders>
            <w:vAlign w:val="center"/>
          </w:tcPr>
          <w:p w14:paraId="4107DE3A" w14:textId="77777777" w:rsidR="00B60F6E" w:rsidRPr="00B60F6E" w:rsidRDefault="00B60F6E" w:rsidP="005716FD">
            <w:pPr>
              <w:pStyle w:val="ListParagraph"/>
              <w:numPr>
                <w:ilvl w:val="0"/>
                <w:numId w:val="21"/>
              </w:numPr>
              <w:spacing w:before="120"/>
              <w:jc w:val="center"/>
              <w:rPr>
                <w:rFonts w:cs="Arial"/>
                <w:sz w:val="20"/>
                <w:szCs w:val="20"/>
              </w:rPr>
            </w:pPr>
          </w:p>
        </w:tc>
        <w:tc>
          <w:tcPr>
            <w:tcW w:w="5739" w:type="dxa"/>
            <w:tcBorders>
              <w:left w:val="none" w:sz="0" w:space="0" w:color="auto"/>
              <w:right w:val="single" w:sz="4" w:space="0" w:color="auto"/>
            </w:tcBorders>
          </w:tcPr>
          <w:p w14:paraId="446F8763" w14:textId="22EB8988" w:rsidR="00B60F6E" w:rsidRPr="00DC4AE5" w:rsidRDefault="00B60F6E" w:rsidP="00A02A13">
            <w:pPr>
              <w:spacing w:before="120"/>
              <w:cnfStyle w:val="000000010000" w:firstRow="0" w:lastRow="0" w:firstColumn="0" w:lastColumn="0" w:oddVBand="0" w:evenVBand="0" w:oddHBand="0" w:evenHBand="1" w:firstRowFirstColumn="0" w:firstRowLastColumn="0" w:lastRowFirstColumn="0" w:lastRowLastColumn="0"/>
              <w:rPr>
                <w:rFonts w:cs="Arial"/>
                <w:sz w:val="20"/>
                <w:szCs w:val="20"/>
              </w:rPr>
            </w:pPr>
            <w:r w:rsidRPr="00DC4AE5">
              <w:rPr>
                <w:rFonts w:cs="Arial"/>
                <w:sz w:val="20"/>
                <w:szCs w:val="20"/>
              </w:rPr>
              <w:t xml:space="preserve">Concerns were raised regarding notable discrepancies between the Code’s dietary fibre definition and the methods of analysis permitted, compared to other countries and Codex. </w:t>
            </w:r>
          </w:p>
          <w:p w14:paraId="7755B79A" w14:textId="42C15EA0" w:rsidR="00B60F6E" w:rsidRPr="00DC4AE5" w:rsidRDefault="00B60F6E" w:rsidP="00A02A13">
            <w:pPr>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DC4AE5">
              <w:rPr>
                <w:rFonts w:cs="Arial"/>
                <w:sz w:val="20"/>
                <w:szCs w:val="20"/>
              </w:rPr>
              <w:t>Some calls for FSANZ to review these elements of the Code were received.</w:t>
            </w:r>
          </w:p>
        </w:tc>
        <w:tc>
          <w:tcPr>
            <w:tcW w:w="1295" w:type="dxa"/>
            <w:tcBorders>
              <w:left w:val="single" w:sz="4" w:space="0" w:color="auto"/>
              <w:right w:val="single" w:sz="4" w:space="0" w:color="auto"/>
            </w:tcBorders>
          </w:tcPr>
          <w:p w14:paraId="37CF1515" w14:textId="77777777" w:rsidR="00DE7E50" w:rsidRDefault="00BB76AA" w:rsidP="00DE7E50">
            <w:pPr>
              <w:pStyle w:val="FSTableText"/>
              <w:spacing w:before="120"/>
              <w:cnfStyle w:val="000000010000" w:firstRow="0" w:lastRow="0" w:firstColumn="0" w:lastColumn="0" w:oddVBand="0" w:evenVBand="0" w:oddHBand="0" w:evenHBand="1" w:firstRowFirstColumn="0" w:firstRowLastColumn="0" w:lastRowFirstColumn="0" w:lastRowLastColumn="0"/>
            </w:pPr>
            <w:r>
              <w:t>NSW</w:t>
            </w:r>
          </w:p>
          <w:p w14:paraId="74B4CCC1" w14:textId="77777777" w:rsidR="00DE7E50" w:rsidRDefault="00BB76AA" w:rsidP="00DE7E50">
            <w:pPr>
              <w:pStyle w:val="FSTableText"/>
              <w:spacing w:before="120"/>
              <w:cnfStyle w:val="000000010000" w:firstRow="0" w:lastRow="0" w:firstColumn="0" w:lastColumn="0" w:oddVBand="0" w:evenVBand="0" w:oddHBand="0" w:evenHBand="1" w:firstRowFirstColumn="0" w:firstRowLastColumn="0" w:lastRowFirstColumn="0" w:lastRowLastColumn="0"/>
            </w:pPr>
            <w:r>
              <w:t>WA</w:t>
            </w:r>
          </w:p>
          <w:p w14:paraId="2E71796B" w14:textId="21AADE84" w:rsidR="00B60F6E" w:rsidRPr="00134FCC" w:rsidRDefault="00B60F6E" w:rsidP="00DE7E50">
            <w:pPr>
              <w:pStyle w:val="FSTableText"/>
              <w:spacing w:before="120"/>
              <w:cnfStyle w:val="000000010000" w:firstRow="0" w:lastRow="0" w:firstColumn="0" w:lastColumn="0" w:oddVBand="0" w:evenVBand="0" w:oddHBand="0" w:evenHBand="1" w:firstRowFirstColumn="0" w:firstRowLastColumn="0" w:lastRowFirstColumn="0" w:lastRowLastColumn="0"/>
            </w:pPr>
            <w:r w:rsidRPr="00134FCC">
              <w:t>QLD</w:t>
            </w:r>
          </w:p>
        </w:tc>
        <w:tc>
          <w:tcPr>
            <w:tcW w:w="6391" w:type="dxa"/>
            <w:tcBorders>
              <w:left w:val="single" w:sz="4" w:space="0" w:color="auto"/>
            </w:tcBorders>
          </w:tcPr>
          <w:p w14:paraId="26B6686D" w14:textId="17640C73" w:rsidR="00B60F6E"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t xml:space="preserve">FSANZ </w:t>
            </w:r>
            <w:r w:rsidR="00A32AF8">
              <w:t>acknowledges</w:t>
            </w:r>
            <w:r>
              <w:t xml:space="preserve"> these concerns however it is </w:t>
            </w:r>
            <w:r w:rsidRPr="00134FCC">
              <w:t>not within scope of A1178 to review the definition of dietary fibre</w:t>
            </w:r>
            <w:r>
              <w:t xml:space="preserve"> and/or raise a Proposal.</w:t>
            </w:r>
          </w:p>
          <w:p w14:paraId="524BDC0E" w14:textId="5D41EFE7" w:rsidR="00B60F6E" w:rsidRPr="00134FCC" w:rsidRDefault="00B60F6E" w:rsidP="000A1206">
            <w:pPr>
              <w:pStyle w:val="FSTableText"/>
              <w:spacing w:before="120" w:after="120"/>
              <w:cnfStyle w:val="000000010000" w:firstRow="0" w:lastRow="0" w:firstColumn="0" w:lastColumn="0" w:oddVBand="0" w:evenVBand="0" w:oddHBand="0" w:evenHBand="1" w:firstRowFirstColumn="0" w:firstRowLastColumn="0" w:lastRowFirstColumn="0" w:lastRowLastColumn="0"/>
            </w:pPr>
            <w:r w:rsidRPr="00134FCC">
              <w:t xml:space="preserve">FSANZ understands that the body of evidence around beneficial physiological effects of dietary fibres is expanding and will consider this with any future update to the </w:t>
            </w:r>
            <w:r>
              <w:t>Code.</w:t>
            </w:r>
          </w:p>
        </w:tc>
      </w:tr>
      <w:tr w:rsidR="00B60F6E" w:rsidRPr="00134FCC" w14:paraId="7AE138CF" w14:textId="77777777" w:rsidTr="005716FD">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680" w:type="dxa"/>
            <w:tcBorders>
              <w:right w:val="none" w:sz="0" w:space="0" w:color="auto"/>
            </w:tcBorders>
            <w:vAlign w:val="center"/>
          </w:tcPr>
          <w:p w14:paraId="3E17E99C" w14:textId="77777777" w:rsidR="00B60F6E" w:rsidRPr="00134FCC" w:rsidRDefault="00B60F6E" w:rsidP="005716FD">
            <w:pPr>
              <w:pStyle w:val="FSTableHeading"/>
              <w:ind w:left="720"/>
              <w:rPr>
                <w:b/>
              </w:rPr>
            </w:pPr>
          </w:p>
        </w:tc>
        <w:tc>
          <w:tcPr>
            <w:tcW w:w="13425" w:type="dxa"/>
            <w:gridSpan w:val="3"/>
            <w:tcBorders>
              <w:left w:val="none" w:sz="0" w:space="0" w:color="auto"/>
            </w:tcBorders>
          </w:tcPr>
          <w:p w14:paraId="363A6FD6" w14:textId="2A1D38C7" w:rsidR="00B60F6E" w:rsidRPr="005963FE" w:rsidRDefault="00B60F6E" w:rsidP="001B0E22">
            <w:pPr>
              <w:pStyle w:val="FSTableHeading"/>
              <w:cnfStyle w:val="000000100000" w:firstRow="0" w:lastRow="0" w:firstColumn="0" w:lastColumn="0" w:oddVBand="0" w:evenVBand="0" w:oddHBand="1" w:evenHBand="0" w:firstRowFirstColumn="0" w:firstRowLastColumn="0" w:lastRowFirstColumn="0" w:lastRowLastColumn="0"/>
            </w:pPr>
            <w:r w:rsidRPr="005963FE">
              <w:t>Dietary fibre labelling issues</w:t>
            </w:r>
          </w:p>
        </w:tc>
      </w:tr>
      <w:tr w:rsidR="00B60F6E" w:rsidRPr="00134FCC" w14:paraId="367179DB" w14:textId="77777777" w:rsidTr="005716FD">
        <w:trPr>
          <w:cnfStyle w:val="000000010000" w:firstRow="0" w:lastRow="0" w:firstColumn="0" w:lastColumn="0" w:oddVBand="0" w:evenVBand="0" w:oddHBand="0" w:evenHBand="1"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680" w:type="dxa"/>
            <w:tcBorders>
              <w:right w:val="single" w:sz="4" w:space="0" w:color="auto"/>
            </w:tcBorders>
            <w:vAlign w:val="center"/>
          </w:tcPr>
          <w:p w14:paraId="166F8BD6" w14:textId="77777777" w:rsidR="00B60F6E" w:rsidRDefault="00B60F6E" w:rsidP="005716FD">
            <w:pPr>
              <w:pStyle w:val="FSTableText"/>
              <w:numPr>
                <w:ilvl w:val="0"/>
                <w:numId w:val="21"/>
              </w:numPr>
              <w:spacing w:before="120"/>
              <w:jc w:val="center"/>
              <w:rPr>
                <w:b w:val="0"/>
              </w:rPr>
            </w:pPr>
          </w:p>
        </w:tc>
        <w:tc>
          <w:tcPr>
            <w:tcW w:w="5739" w:type="dxa"/>
            <w:tcBorders>
              <w:left w:val="none" w:sz="0" w:space="0" w:color="auto"/>
              <w:right w:val="single" w:sz="4" w:space="0" w:color="auto"/>
            </w:tcBorders>
          </w:tcPr>
          <w:p w14:paraId="2D4D55C3" w14:textId="405EF87C" w:rsidR="00B60F6E" w:rsidRPr="00DC4AE5" w:rsidRDefault="00B60F6E" w:rsidP="00A02A13">
            <w:pPr>
              <w:pStyle w:val="FSTableText"/>
              <w:spacing w:before="120"/>
              <w:cnfStyle w:val="000000010000" w:firstRow="0" w:lastRow="0" w:firstColumn="0" w:lastColumn="0" w:oddVBand="0" w:evenVBand="0" w:oddHBand="0" w:evenHBand="1" w:firstRowFirstColumn="0" w:firstRowLastColumn="0" w:lastRowFirstColumn="0" w:lastRowLastColumn="0"/>
            </w:pPr>
            <w:r w:rsidRPr="00DC4AE5">
              <w:t>It was highlighted that further ambiguity is added in that the Code permits dietary fibre to be expressed per serving size, where serving sizes are not prescribed, and this leads to potentially misleading labelling for consumers.</w:t>
            </w:r>
          </w:p>
        </w:tc>
        <w:tc>
          <w:tcPr>
            <w:tcW w:w="1295" w:type="dxa"/>
            <w:tcBorders>
              <w:left w:val="single" w:sz="4" w:space="0" w:color="auto"/>
              <w:right w:val="single" w:sz="4" w:space="0" w:color="auto"/>
            </w:tcBorders>
          </w:tcPr>
          <w:p w14:paraId="0ADFD75C" w14:textId="07EE18F0" w:rsidR="00B60F6E" w:rsidRPr="00134FCC" w:rsidRDefault="00B60F6E" w:rsidP="00BB76AA">
            <w:pPr>
              <w:pStyle w:val="FSTableText"/>
              <w:spacing w:before="120"/>
              <w:cnfStyle w:val="000000010000" w:firstRow="0" w:lastRow="0" w:firstColumn="0" w:lastColumn="0" w:oddVBand="0" w:evenVBand="0" w:oddHBand="0" w:evenHBand="1" w:firstRowFirstColumn="0" w:firstRowLastColumn="0" w:lastRowFirstColumn="0" w:lastRowLastColumn="0"/>
            </w:pPr>
            <w:r w:rsidRPr="00134FCC">
              <w:t>VIC</w:t>
            </w:r>
          </w:p>
        </w:tc>
        <w:tc>
          <w:tcPr>
            <w:tcW w:w="6391" w:type="dxa"/>
            <w:tcBorders>
              <w:left w:val="single" w:sz="4" w:space="0" w:color="auto"/>
            </w:tcBorders>
          </w:tcPr>
          <w:p w14:paraId="4CE98A75" w14:textId="6F429363" w:rsidR="00B60F6E" w:rsidRPr="00134FCC" w:rsidRDefault="00A32AF8" w:rsidP="00BB76AA">
            <w:pPr>
              <w:pStyle w:val="FSTableText"/>
              <w:spacing w:before="120" w:after="120"/>
              <w:cnfStyle w:val="000000010000" w:firstRow="0" w:lastRow="0" w:firstColumn="0" w:lastColumn="0" w:oddVBand="0" w:evenVBand="0" w:oddHBand="0" w:evenHBand="1" w:firstRowFirstColumn="0" w:firstRowLastColumn="0" w:lastRowFirstColumn="0" w:lastRowLastColumn="0"/>
            </w:pPr>
            <w:r>
              <w:t xml:space="preserve">FSANZ </w:t>
            </w:r>
            <w:r w:rsidR="00034545">
              <w:t>acknowledges</w:t>
            </w:r>
            <w:r>
              <w:t xml:space="preserve"> this concern. However, requirements to make declarations per serving size in the NIP are n</w:t>
            </w:r>
            <w:r w:rsidR="00BB76AA">
              <w:t>ot limited to dietary fibre and</w:t>
            </w:r>
            <w:r>
              <w:t xml:space="preserve"> consequently, assessment of and any changes to those requirements are outside the scope of A1178</w:t>
            </w:r>
            <w:r w:rsidR="00BB76AA">
              <w:t xml:space="preserve"> but can be considered during any future review of the standard.</w:t>
            </w:r>
          </w:p>
        </w:tc>
      </w:tr>
      <w:tr w:rsidR="00B60F6E" w:rsidRPr="00134FCC" w14:paraId="4663B0FA" w14:textId="77777777" w:rsidTr="005716F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80" w:type="dxa"/>
            <w:tcBorders>
              <w:right w:val="single" w:sz="4" w:space="0" w:color="auto"/>
            </w:tcBorders>
            <w:vAlign w:val="center"/>
          </w:tcPr>
          <w:p w14:paraId="1BFE4961" w14:textId="77777777" w:rsidR="00B60F6E" w:rsidRPr="00B60F6E" w:rsidRDefault="00B60F6E" w:rsidP="005716FD">
            <w:pPr>
              <w:pStyle w:val="ListParagraph"/>
              <w:numPr>
                <w:ilvl w:val="0"/>
                <w:numId w:val="21"/>
              </w:numPr>
              <w:spacing w:before="120"/>
              <w:jc w:val="center"/>
              <w:rPr>
                <w:rFonts w:cs="Arial"/>
                <w:sz w:val="20"/>
                <w:szCs w:val="20"/>
              </w:rPr>
            </w:pPr>
          </w:p>
        </w:tc>
        <w:tc>
          <w:tcPr>
            <w:tcW w:w="5739" w:type="dxa"/>
            <w:tcBorders>
              <w:left w:val="none" w:sz="0" w:space="0" w:color="auto"/>
              <w:right w:val="single" w:sz="4" w:space="0" w:color="auto"/>
            </w:tcBorders>
          </w:tcPr>
          <w:p w14:paraId="578DA2CE" w14:textId="06E9AE8C" w:rsidR="00B60F6E" w:rsidRPr="00BB76AA" w:rsidRDefault="00B60F6E" w:rsidP="00BB76AA">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DC4AE5">
              <w:rPr>
                <w:rFonts w:cs="Arial"/>
                <w:sz w:val="20"/>
                <w:szCs w:val="20"/>
                <w:lang w:val="en-AU"/>
              </w:rPr>
              <w:t>Concern a permission without restriction will negatively impact on Health Star Ratings (HSR) and modelling would be required to fully understand the impact e.g. for products on the cusp of another star ratin</w:t>
            </w:r>
            <w:r w:rsidR="00BB76AA">
              <w:rPr>
                <w:rFonts w:cs="Arial"/>
                <w:sz w:val="20"/>
                <w:szCs w:val="20"/>
                <w:lang w:val="en-AU"/>
              </w:rPr>
              <w:t>g it may increase their rating.</w:t>
            </w:r>
          </w:p>
          <w:p w14:paraId="0AD08547" w14:textId="3E5662B6" w:rsidR="00B60F6E" w:rsidRPr="00DC4AE5" w:rsidRDefault="00B60F6E" w:rsidP="00BB76AA">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DC4AE5">
              <w:rPr>
                <w:rFonts w:cs="Arial"/>
                <w:sz w:val="20"/>
                <w:szCs w:val="20"/>
              </w:rPr>
              <w:lastRenderedPageBreak/>
              <w:t>In the HSR five year review, stakeholders expressed concern with the current types of dietary fibre permitted under the Code’s definition and questioned whether all types would promote the same benefit. Allowing GOS (particularly synthetic forms) to contribute to dietary fibre content, despite it not meeting the Code’s definition, may add to concerns around the integrity of the HSR system.</w:t>
            </w:r>
          </w:p>
        </w:tc>
        <w:tc>
          <w:tcPr>
            <w:tcW w:w="1295" w:type="dxa"/>
            <w:tcBorders>
              <w:left w:val="single" w:sz="4" w:space="0" w:color="auto"/>
              <w:right w:val="single" w:sz="4" w:space="0" w:color="auto"/>
            </w:tcBorders>
          </w:tcPr>
          <w:p w14:paraId="7C95B4EE" w14:textId="522C0C91" w:rsidR="00B60F6E" w:rsidRPr="00134FCC" w:rsidRDefault="00DE7E50" w:rsidP="00BB76AA">
            <w:pPr>
              <w:pStyle w:val="FSTableText"/>
              <w:spacing w:before="120"/>
              <w:cnfStyle w:val="000000100000" w:firstRow="0" w:lastRow="0" w:firstColumn="0" w:lastColumn="0" w:oddVBand="0" w:evenVBand="0" w:oddHBand="1" w:evenHBand="0" w:firstRowFirstColumn="0" w:firstRowLastColumn="0" w:lastRowFirstColumn="0" w:lastRowLastColumn="0"/>
              <w:rPr>
                <w:bCs/>
                <w:lang w:val="en-AU"/>
              </w:rPr>
            </w:pPr>
            <w:r>
              <w:lastRenderedPageBreak/>
              <w:t>NZ</w:t>
            </w:r>
          </w:p>
        </w:tc>
        <w:tc>
          <w:tcPr>
            <w:tcW w:w="6391" w:type="dxa"/>
            <w:tcBorders>
              <w:left w:val="single" w:sz="4" w:space="0" w:color="auto"/>
            </w:tcBorders>
          </w:tcPr>
          <w:p w14:paraId="558783A5" w14:textId="37A737E4" w:rsidR="00B60F6E" w:rsidRPr="00134FCC" w:rsidRDefault="00B60F6E" w:rsidP="00BB76AA">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134FCC">
              <w:t xml:space="preserve">FSANZ understands that these concerns (which are not unique to added GOS or IMO) were raised during the five year HSR review </w:t>
            </w:r>
            <w:r>
              <w:t>and</w:t>
            </w:r>
            <w:r w:rsidRPr="00134FCC">
              <w:t xml:space="preserve"> existed irrespective of this application</w:t>
            </w:r>
            <w:r>
              <w:t xml:space="preserve">. FSANZ notes that </w:t>
            </w:r>
            <w:r w:rsidRPr="00134FCC">
              <w:t xml:space="preserve">no changes to the dietary fibre algorithm were recommended in the HSR Five </w:t>
            </w:r>
            <w:r w:rsidRPr="00134FCC">
              <w:lastRenderedPageBreak/>
              <w:t xml:space="preserve">Year </w:t>
            </w:r>
            <w:hyperlink r:id="rId23" w:history="1">
              <w:r w:rsidRPr="00134FCC">
                <w:rPr>
                  <w:rStyle w:val="Hyperlink"/>
                </w:rPr>
                <w:t>Final Review Report</w:t>
              </w:r>
            </w:hyperlink>
            <w:r w:rsidR="00BB76AA">
              <w:t>.</w:t>
            </w:r>
          </w:p>
          <w:p w14:paraId="1E553875" w14:textId="3FC82154" w:rsidR="00B60F6E" w:rsidRPr="00134FCC" w:rsidRDefault="00B60F6E" w:rsidP="00BB76AA">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134FCC">
              <w:t xml:space="preserve">From both an economical and food technology perspective, the likelihood of GOS </w:t>
            </w:r>
            <w:r>
              <w:t>and/</w:t>
            </w:r>
            <w:r w:rsidRPr="00134FCC">
              <w:t>or IMO being added to inflate dietary fibre values is not supported by</w:t>
            </w:r>
            <w:r>
              <w:t xml:space="preserve"> technological</w:t>
            </w:r>
            <w:r w:rsidRPr="00134FCC">
              <w:t xml:space="preserve"> information provided by industry, </w:t>
            </w:r>
            <w:r>
              <w:t>usage</w:t>
            </w:r>
            <w:r w:rsidR="001B50A0">
              <w:t xml:space="preserve"> levels or costing data. </w:t>
            </w:r>
          </w:p>
        </w:tc>
      </w:tr>
      <w:tr w:rsidR="00B60F6E" w:rsidRPr="00134FCC" w14:paraId="21FB1FA3" w14:textId="77777777" w:rsidTr="005716FD">
        <w:trPr>
          <w:cnfStyle w:val="000000010000" w:firstRow="0" w:lastRow="0" w:firstColumn="0" w:lastColumn="0" w:oddVBand="0" w:evenVBand="0" w:oddHBand="0" w:evenHBand="1" w:firstRowFirstColumn="0" w:firstRowLastColumn="0" w:lastRowFirstColumn="0" w:lastRowLastColumn="0"/>
          <w:cantSplit/>
          <w:trHeight w:val="301"/>
        </w:trPr>
        <w:tc>
          <w:tcPr>
            <w:cnfStyle w:val="001000000000" w:firstRow="0" w:lastRow="0" w:firstColumn="1" w:lastColumn="0" w:oddVBand="0" w:evenVBand="0" w:oddHBand="0" w:evenHBand="0" w:firstRowFirstColumn="0" w:firstRowLastColumn="0" w:lastRowFirstColumn="0" w:lastRowLastColumn="0"/>
            <w:tcW w:w="680" w:type="dxa"/>
            <w:tcBorders>
              <w:right w:val="none" w:sz="0" w:space="0" w:color="auto"/>
            </w:tcBorders>
            <w:vAlign w:val="center"/>
          </w:tcPr>
          <w:p w14:paraId="4DDC5FD8" w14:textId="77777777" w:rsidR="00B60F6E" w:rsidRPr="001B0E22" w:rsidRDefault="00B60F6E" w:rsidP="005716FD">
            <w:pPr>
              <w:pStyle w:val="FSTableHeading"/>
              <w:ind w:left="720"/>
              <w:rPr>
                <w:b/>
                <w:lang w:val="en-AU"/>
              </w:rPr>
            </w:pPr>
          </w:p>
        </w:tc>
        <w:tc>
          <w:tcPr>
            <w:tcW w:w="13425" w:type="dxa"/>
            <w:gridSpan w:val="3"/>
            <w:tcBorders>
              <w:left w:val="none" w:sz="0" w:space="0" w:color="auto"/>
            </w:tcBorders>
            <w:vAlign w:val="center"/>
          </w:tcPr>
          <w:p w14:paraId="798943CE" w14:textId="4240DFF4" w:rsidR="00B60F6E" w:rsidRPr="005963FE" w:rsidRDefault="00B60F6E" w:rsidP="001B0E22">
            <w:pPr>
              <w:pStyle w:val="FSTableHeading"/>
              <w:cnfStyle w:val="000000010000" w:firstRow="0" w:lastRow="0" w:firstColumn="0" w:lastColumn="0" w:oddVBand="0" w:evenVBand="0" w:oddHBand="0" w:evenHBand="1" w:firstRowFirstColumn="0" w:firstRowLastColumn="0" w:lastRowFirstColumn="0" w:lastRowLastColumn="0"/>
              <w:rPr>
                <w:lang w:val="en-AU"/>
              </w:rPr>
            </w:pPr>
            <w:r w:rsidRPr="005963FE">
              <w:rPr>
                <w:lang w:val="en-AU"/>
              </w:rPr>
              <w:t>Policy guidance</w:t>
            </w:r>
          </w:p>
        </w:tc>
      </w:tr>
      <w:tr w:rsidR="00B60F6E" w:rsidRPr="00134FCC" w14:paraId="698DE788" w14:textId="77777777" w:rsidTr="005716FD">
        <w:trPr>
          <w:cnfStyle w:val="000000100000" w:firstRow="0" w:lastRow="0" w:firstColumn="0" w:lastColumn="0" w:oddVBand="0" w:evenVBand="0" w:oddHBand="1" w:evenHBand="0" w:firstRowFirstColumn="0" w:firstRowLastColumn="0" w:lastRowFirstColumn="0" w:lastRowLastColumn="0"/>
          <w:cantSplit/>
          <w:trHeight w:val="660"/>
        </w:trPr>
        <w:tc>
          <w:tcPr>
            <w:cnfStyle w:val="001000000000" w:firstRow="0" w:lastRow="0" w:firstColumn="1" w:lastColumn="0" w:oddVBand="0" w:evenVBand="0" w:oddHBand="0" w:evenHBand="0" w:firstRowFirstColumn="0" w:firstRowLastColumn="0" w:lastRowFirstColumn="0" w:lastRowLastColumn="0"/>
            <w:tcW w:w="680" w:type="dxa"/>
            <w:tcBorders>
              <w:right w:val="single" w:sz="4" w:space="0" w:color="auto"/>
            </w:tcBorders>
            <w:vAlign w:val="center"/>
          </w:tcPr>
          <w:p w14:paraId="1FDD0FF6" w14:textId="77777777" w:rsidR="00B60F6E" w:rsidRPr="00B60F6E" w:rsidRDefault="00B60F6E" w:rsidP="005716FD">
            <w:pPr>
              <w:pStyle w:val="ListParagraph"/>
              <w:numPr>
                <w:ilvl w:val="0"/>
                <w:numId w:val="21"/>
              </w:numPr>
              <w:spacing w:before="120" w:after="120"/>
              <w:jc w:val="center"/>
              <w:rPr>
                <w:rFonts w:cs="Arial"/>
                <w:sz w:val="20"/>
                <w:szCs w:val="20"/>
              </w:rPr>
            </w:pPr>
          </w:p>
        </w:tc>
        <w:tc>
          <w:tcPr>
            <w:tcW w:w="5739" w:type="dxa"/>
            <w:tcBorders>
              <w:left w:val="none" w:sz="0" w:space="0" w:color="auto"/>
              <w:right w:val="single" w:sz="4" w:space="0" w:color="auto"/>
            </w:tcBorders>
          </w:tcPr>
          <w:p w14:paraId="39F975F9" w14:textId="763974B0" w:rsidR="00B60F6E" w:rsidRPr="00DC4AE5" w:rsidRDefault="00B60F6E" w:rsidP="00BB76AA">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lang w:val="en-AU"/>
              </w:rPr>
            </w:pPr>
            <w:r w:rsidRPr="00DC4AE5">
              <w:rPr>
                <w:rFonts w:cs="Arial"/>
                <w:sz w:val="20"/>
                <w:szCs w:val="20"/>
                <w:lang w:val="en-AU"/>
              </w:rPr>
              <w:t xml:space="preserve">It was suggested that FSANZ should have considered the </w:t>
            </w:r>
            <w:r w:rsidRPr="00BB76AA">
              <w:rPr>
                <w:rFonts w:cs="Arial"/>
                <w:i/>
                <w:sz w:val="20"/>
                <w:szCs w:val="20"/>
                <w:lang w:val="en-AU"/>
              </w:rPr>
              <w:t>‘Policy guideline on food labelling to support consumers to make informed healthy food choices’</w:t>
            </w:r>
            <w:r w:rsidR="00BB76AA">
              <w:rPr>
                <w:rFonts w:cs="Arial"/>
                <w:sz w:val="20"/>
                <w:szCs w:val="20"/>
                <w:lang w:val="en-AU"/>
              </w:rPr>
              <w:t>.</w:t>
            </w:r>
          </w:p>
        </w:tc>
        <w:tc>
          <w:tcPr>
            <w:tcW w:w="1295" w:type="dxa"/>
            <w:tcBorders>
              <w:left w:val="single" w:sz="4" w:space="0" w:color="auto"/>
              <w:right w:val="single" w:sz="4" w:space="0" w:color="auto"/>
            </w:tcBorders>
          </w:tcPr>
          <w:p w14:paraId="322FAF6B" w14:textId="44CB2B78" w:rsidR="00B60F6E" w:rsidRPr="00134FCC" w:rsidRDefault="00B60F6E" w:rsidP="00BB76AA">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134FCC">
              <w:t>NZ</w:t>
            </w:r>
          </w:p>
        </w:tc>
        <w:tc>
          <w:tcPr>
            <w:tcW w:w="6391" w:type="dxa"/>
            <w:tcBorders>
              <w:left w:val="single" w:sz="4" w:space="0" w:color="auto"/>
            </w:tcBorders>
          </w:tcPr>
          <w:p w14:paraId="4F729924" w14:textId="58033276" w:rsidR="00A32AF8" w:rsidRDefault="00A32AF8" w:rsidP="00A32AF8">
            <w:pPr>
              <w:pStyle w:val="FSTableText"/>
              <w:spacing w:before="120" w:after="120"/>
              <w:cnfStyle w:val="000000100000" w:firstRow="0" w:lastRow="0" w:firstColumn="0" w:lastColumn="0" w:oddVBand="0" w:evenVBand="0" w:oddHBand="1" w:evenHBand="0" w:firstRowFirstColumn="0" w:firstRowLastColumn="0" w:lastRowFirstColumn="0" w:lastRowLastColumn="0"/>
            </w:pPr>
            <w:r>
              <w:t xml:space="preserve">Although </w:t>
            </w:r>
            <w:r w:rsidRPr="00134FCC">
              <w:t>this policy guideline is not directly related to a permission for a new method of analysis for dietary fibre</w:t>
            </w:r>
            <w:r>
              <w:t>,  FSANZ has had regard to the guideline.</w:t>
            </w:r>
          </w:p>
          <w:p w14:paraId="48C2D23E" w14:textId="71E97AFF" w:rsidR="00A32AF8" w:rsidRDefault="00A32AF8" w:rsidP="00A32AF8">
            <w:pPr>
              <w:pStyle w:val="FSTableText"/>
              <w:spacing w:before="120" w:after="120"/>
              <w:cnfStyle w:val="000000100000" w:firstRow="0" w:lastRow="0" w:firstColumn="0" w:lastColumn="0" w:oddVBand="0" w:evenVBand="0" w:oddHBand="1" w:evenHBand="0" w:firstRowFirstColumn="0" w:firstRowLastColumn="0" w:lastRowFirstColumn="0" w:lastRowLastColumn="0"/>
              <w:rPr>
                <w:bCs/>
              </w:rPr>
            </w:pPr>
            <w:r>
              <w:t>Having considered the guideline,</w:t>
            </w:r>
            <w:r w:rsidR="00BB76AA">
              <w:t xml:space="preserve"> FSANZ remains of the view that (</w:t>
            </w:r>
            <w:r>
              <w:t xml:space="preserve">for reasons set out </w:t>
            </w:r>
            <w:r w:rsidR="00BB76AA">
              <w:t>in this report)</w:t>
            </w:r>
            <w:r>
              <w:t xml:space="preserve"> permitting th</w:t>
            </w:r>
            <w:r w:rsidR="00BB76AA">
              <w:t>e voluntary use of AOAC 2017.16</w:t>
            </w:r>
            <w:r>
              <w:t xml:space="preserve"> will </w:t>
            </w:r>
            <w:r w:rsidR="00BB76AA">
              <w:t xml:space="preserve">continue to allow consumers to </w:t>
            </w:r>
            <w:r>
              <w:t>be provided</w:t>
            </w:r>
            <w:r w:rsidR="00BB76AA">
              <w:t xml:space="preserve"> with adequate information, enabling</w:t>
            </w:r>
            <w:r>
              <w:t xml:space="preserve"> informed choice about dietary fibre in food products</w:t>
            </w:r>
            <w:r>
              <w:rPr>
                <w:bCs/>
              </w:rPr>
              <w:t>.</w:t>
            </w:r>
          </w:p>
          <w:p w14:paraId="6A696D2B" w14:textId="485DA404" w:rsidR="00B60F6E" w:rsidRPr="001B50A0" w:rsidRDefault="00A32AF8" w:rsidP="00A02A13">
            <w:pPr>
              <w:pStyle w:val="FSTableText"/>
              <w:spacing w:before="120" w:after="120"/>
              <w:cnfStyle w:val="000000100000" w:firstRow="0" w:lastRow="0" w:firstColumn="0" w:lastColumn="0" w:oddVBand="0" w:evenVBand="0" w:oddHBand="1" w:evenHBand="0" w:firstRowFirstColumn="0" w:firstRowLastColumn="0" w:lastRowFirstColumn="0" w:lastRowLastColumn="0"/>
              <w:rPr>
                <w:bCs/>
              </w:rPr>
            </w:pPr>
            <w:r>
              <w:rPr>
                <w:bCs/>
              </w:rPr>
              <w:t xml:space="preserve">FSANZ has </w:t>
            </w:r>
            <w:r w:rsidR="0081351D">
              <w:rPr>
                <w:bCs/>
              </w:rPr>
              <w:t>addressed</w:t>
            </w:r>
            <w:r>
              <w:rPr>
                <w:bCs/>
              </w:rPr>
              <w:t xml:space="preserve"> this issue in S</w:t>
            </w:r>
            <w:r w:rsidRPr="00B05C4C">
              <w:rPr>
                <w:bCs/>
              </w:rPr>
              <w:t>ection 5.3</w:t>
            </w:r>
            <w:r w:rsidR="001B50A0">
              <w:rPr>
                <w:bCs/>
              </w:rPr>
              <w:t xml:space="preserve"> of this report.</w:t>
            </w:r>
          </w:p>
        </w:tc>
      </w:tr>
    </w:tbl>
    <w:p w14:paraId="65AF4C10" w14:textId="77777777" w:rsidR="001B50A0" w:rsidRDefault="001B50A0">
      <w:pPr>
        <w:widowControl/>
        <w:rPr>
          <w:rFonts w:cs="Arial"/>
          <w:b/>
        </w:rPr>
      </w:pPr>
      <w:r>
        <w:br w:type="page"/>
      </w:r>
    </w:p>
    <w:p w14:paraId="5F9E15F3" w14:textId="5CF60875" w:rsidR="00FF1600" w:rsidRPr="00B54F8E" w:rsidRDefault="00B54F8E" w:rsidP="00B54F8E">
      <w:pPr>
        <w:pStyle w:val="FSTableTitle"/>
        <w:spacing w:before="120" w:after="120"/>
      </w:pPr>
      <w:r w:rsidRPr="00B54F8E">
        <w:lastRenderedPageBreak/>
        <w:t xml:space="preserve">Table 2: </w:t>
      </w:r>
      <w:r w:rsidR="003572EE">
        <w:t>Summary of s</w:t>
      </w:r>
      <w:r w:rsidRPr="00B54F8E">
        <w:t xml:space="preserve">upport </w:t>
      </w:r>
    </w:p>
    <w:tbl>
      <w:tblPr>
        <w:tblStyle w:val="MediumShading1-Accent3"/>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1246"/>
      </w:tblGrid>
      <w:tr w:rsidR="00FF1600" w:rsidRPr="00134FCC" w14:paraId="2C8761E6" w14:textId="77777777" w:rsidTr="00B13F05">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961" w:type="pct"/>
            <w:tcBorders>
              <w:top w:val="none" w:sz="0" w:space="0" w:color="auto"/>
              <w:left w:val="none" w:sz="0" w:space="0" w:color="auto"/>
              <w:bottom w:val="none" w:sz="0" w:space="0" w:color="auto"/>
              <w:right w:val="none" w:sz="0" w:space="0" w:color="auto"/>
            </w:tcBorders>
          </w:tcPr>
          <w:p w14:paraId="4EBCE62A" w14:textId="77777777" w:rsidR="00FF1600" w:rsidRPr="00134FCC" w:rsidRDefault="00FF1600" w:rsidP="00B13F05">
            <w:pPr>
              <w:pStyle w:val="FSTableHeading"/>
              <w:rPr>
                <w:b/>
                <w:sz w:val="22"/>
              </w:rPr>
            </w:pPr>
            <w:r w:rsidRPr="00134FCC">
              <w:rPr>
                <w:b/>
                <w:sz w:val="22"/>
              </w:rPr>
              <w:t>Contributing Submitters</w:t>
            </w:r>
          </w:p>
        </w:tc>
        <w:tc>
          <w:tcPr>
            <w:tcW w:w="4039" w:type="pct"/>
            <w:tcBorders>
              <w:top w:val="none" w:sz="0" w:space="0" w:color="auto"/>
              <w:left w:val="none" w:sz="0" w:space="0" w:color="auto"/>
              <w:bottom w:val="none" w:sz="0" w:space="0" w:color="auto"/>
              <w:right w:val="none" w:sz="0" w:space="0" w:color="auto"/>
            </w:tcBorders>
          </w:tcPr>
          <w:p w14:paraId="3FD6BFC3" w14:textId="77777777" w:rsidR="00FF1600" w:rsidRPr="00134FCC" w:rsidRDefault="00FF1600" w:rsidP="00B13F05">
            <w:pPr>
              <w:pStyle w:val="FSTableHeading"/>
              <w:cnfStyle w:val="100000000000" w:firstRow="1" w:lastRow="0" w:firstColumn="0" w:lastColumn="0" w:oddVBand="0" w:evenVBand="0" w:oddHBand="0" w:evenHBand="0" w:firstRowFirstColumn="0" w:firstRowLastColumn="0" w:lastRowFirstColumn="0" w:lastRowLastColumn="0"/>
              <w:rPr>
                <w:b/>
                <w:sz w:val="22"/>
              </w:rPr>
            </w:pPr>
            <w:r w:rsidRPr="00134FCC">
              <w:rPr>
                <w:b/>
                <w:sz w:val="22"/>
              </w:rPr>
              <w:t>Comment</w:t>
            </w:r>
          </w:p>
        </w:tc>
      </w:tr>
      <w:tr w:rsidR="00FF1600" w:rsidRPr="00134FCC" w14:paraId="0A556AA1" w14:textId="77777777" w:rsidTr="00B13F05">
        <w:trPr>
          <w:cnfStyle w:val="000000100000" w:firstRow="0" w:lastRow="0" w:firstColumn="0" w:lastColumn="0" w:oddVBand="0" w:evenVBand="0" w:oddHBand="1" w:evenHBand="0" w:firstRowFirstColumn="0" w:firstRowLastColumn="0" w:lastRowFirstColumn="0" w:lastRowLastColumn="0"/>
          <w:cantSplit/>
          <w:trHeight w:val="2909"/>
        </w:trPr>
        <w:tc>
          <w:tcPr>
            <w:cnfStyle w:val="001000000000" w:firstRow="0" w:lastRow="0" w:firstColumn="1" w:lastColumn="0" w:oddVBand="0" w:evenVBand="0" w:oddHBand="0" w:evenHBand="0" w:firstRowFirstColumn="0" w:firstRowLastColumn="0" w:lastRowFirstColumn="0" w:lastRowLastColumn="0"/>
            <w:tcW w:w="961" w:type="pct"/>
            <w:tcBorders>
              <w:right w:val="single" w:sz="4" w:space="0" w:color="auto"/>
            </w:tcBorders>
          </w:tcPr>
          <w:p w14:paraId="60C38806" w14:textId="0C452D47" w:rsidR="00FF1600" w:rsidRPr="00134FCC" w:rsidRDefault="00DE7E50" w:rsidP="0038130A">
            <w:pPr>
              <w:pStyle w:val="FSTableText"/>
              <w:spacing w:before="120" w:after="120"/>
              <w:rPr>
                <w:b w:val="0"/>
                <w:bCs w:val="0"/>
              </w:rPr>
            </w:pPr>
            <w:r>
              <w:rPr>
                <w:b w:val="0"/>
              </w:rPr>
              <w:t>Healthy Grain</w:t>
            </w:r>
          </w:p>
          <w:p w14:paraId="36675737" w14:textId="72A1E0E9" w:rsidR="00B509D7" w:rsidRDefault="00FF1600" w:rsidP="0038130A">
            <w:pPr>
              <w:pStyle w:val="FSTableText"/>
              <w:spacing w:before="120" w:after="120"/>
              <w:rPr>
                <w:b w:val="0"/>
              </w:rPr>
            </w:pPr>
            <w:r w:rsidRPr="00134FCC">
              <w:rPr>
                <w:b w:val="0"/>
              </w:rPr>
              <w:t xml:space="preserve">Australian </w:t>
            </w:r>
            <w:r w:rsidR="00DE7E50">
              <w:rPr>
                <w:b w:val="0"/>
              </w:rPr>
              <w:t>Food and Grocery Council</w:t>
            </w:r>
          </w:p>
          <w:p w14:paraId="4846355B" w14:textId="6754A971" w:rsidR="00FF1600" w:rsidRPr="00134FCC" w:rsidRDefault="00FF1600" w:rsidP="0038130A">
            <w:pPr>
              <w:pStyle w:val="FSTableText"/>
              <w:spacing w:before="120" w:after="120"/>
              <w:rPr>
                <w:b w:val="0"/>
              </w:rPr>
            </w:pPr>
            <w:r w:rsidRPr="00134FCC">
              <w:rPr>
                <w:b w:val="0"/>
              </w:rPr>
              <w:t>New Ze</w:t>
            </w:r>
            <w:r w:rsidR="00DE7E50">
              <w:rPr>
                <w:b w:val="0"/>
              </w:rPr>
              <w:t>aland Food and Grocery Council</w:t>
            </w:r>
          </w:p>
          <w:p w14:paraId="4879C278" w14:textId="36C47CC5" w:rsidR="00FF1600" w:rsidRPr="00134FCC" w:rsidRDefault="00DE7E50" w:rsidP="0038130A">
            <w:pPr>
              <w:pStyle w:val="FSTableText"/>
              <w:spacing w:before="120" w:after="120"/>
              <w:rPr>
                <w:b w:val="0"/>
                <w:bCs w:val="0"/>
              </w:rPr>
            </w:pPr>
            <w:r>
              <w:rPr>
                <w:b w:val="0"/>
              </w:rPr>
              <w:t>Sanitarium</w:t>
            </w:r>
          </w:p>
          <w:p w14:paraId="02264A57" w14:textId="77777777" w:rsidR="00FF1600" w:rsidRPr="00134FCC" w:rsidRDefault="00FF1600" w:rsidP="0038130A">
            <w:pPr>
              <w:pStyle w:val="FSTableText"/>
              <w:spacing w:before="120" w:after="120"/>
            </w:pPr>
            <w:r w:rsidRPr="00134FCC">
              <w:rPr>
                <w:b w:val="0"/>
              </w:rPr>
              <w:t>Kelloggs Australia</w:t>
            </w:r>
          </w:p>
        </w:tc>
        <w:tc>
          <w:tcPr>
            <w:tcW w:w="4039" w:type="pct"/>
            <w:tcBorders>
              <w:left w:val="single" w:sz="4" w:space="0" w:color="auto"/>
            </w:tcBorders>
          </w:tcPr>
          <w:p w14:paraId="11FEAFCB" w14:textId="77777777" w:rsidR="00FF1600" w:rsidRPr="00134FCC" w:rsidRDefault="00FF1600" w:rsidP="00BB76AA">
            <w:pPr>
              <w:pStyle w:val="FSTableText"/>
              <w:numPr>
                <w:ilvl w:val="0"/>
                <w:numId w:val="25"/>
              </w:numPr>
              <w:spacing w:before="120" w:after="120"/>
              <w:cnfStyle w:val="000000100000" w:firstRow="0" w:lastRow="0" w:firstColumn="0" w:lastColumn="0" w:oddVBand="0" w:evenVBand="0" w:oddHBand="1" w:evenHBand="0" w:firstRowFirstColumn="0" w:firstRowLastColumn="0" w:lastRowFirstColumn="0" w:lastRowLastColumn="0"/>
            </w:pPr>
            <w:r w:rsidRPr="00134FCC">
              <w:t>Supports permission of AOAC 2017.16 without restriction. Restriction limits the use of the method on many products and increases the complexity of the regulatory environment.</w:t>
            </w:r>
          </w:p>
          <w:p w14:paraId="72AABD76" w14:textId="02F44156" w:rsidR="00FF1600" w:rsidRPr="00134FCC" w:rsidRDefault="00FF1600" w:rsidP="00BB76AA">
            <w:pPr>
              <w:pStyle w:val="FSTableText"/>
              <w:numPr>
                <w:ilvl w:val="0"/>
                <w:numId w:val="25"/>
              </w:numPr>
              <w:spacing w:before="120" w:after="120"/>
              <w:cnfStyle w:val="000000100000" w:firstRow="0" w:lastRow="0" w:firstColumn="0" w:lastColumn="0" w:oddVBand="0" w:evenVBand="0" w:oddHBand="1" w:evenHBand="0" w:firstRowFirstColumn="0" w:firstRowLastColumn="0" w:lastRowFirstColumn="0" w:lastRowLastColumn="0"/>
              <w:rPr>
                <w:lang w:eastAsia="en-GB"/>
              </w:rPr>
            </w:pPr>
            <w:r w:rsidRPr="00134FCC">
              <w:t>Dietary fibre measured by AOAC 2017.16 better corresponds with</w:t>
            </w:r>
            <w:r w:rsidR="003572EE">
              <w:t xml:space="preserve"> the</w:t>
            </w:r>
            <w:r w:rsidRPr="00134FCC">
              <w:t xml:space="preserve"> Codex definition of fibre. International harmonisation results in greater trade opportunities and reduces costs associated with labelling.</w:t>
            </w:r>
          </w:p>
          <w:p w14:paraId="1B3349FC" w14:textId="0632E00B" w:rsidR="00FF1600" w:rsidRPr="00134FCC" w:rsidRDefault="00FF1600" w:rsidP="00BB76AA">
            <w:pPr>
              <w:pStyle w:val="FSTableText"/>
              <w:numPr>
                <w:ilvl w:val="0"/>
                <w:numId w:val="25"/>
              </w:numPr>
              <w:spacing w:before="120" w:after="120"/>
              <w:cnfStyle w:val="000000100000" w:firstRow="0" w:lastRow="0" w:firstColumn="0" w:lastColumn="0" w:oddVBand="0" w:evenVBand="0" w:oddHBand="1" w:evenHBand="0" w:firstRowFirstColumn="0" w:firstRowLastColumn="0" w:lastRowFirstColumn="0" w:lastRowLastColumn="0"/>
            </w:pPr>
            <w:r w:rsidRPr="00134FCC">
              <w:t>AOAC 2017.16 measures dietary fibre components that other methods for total dietary fibre analysis do not, therefore consumers will be better informed of true dietary fibre values.</w:t>
            </w:r>
          </w:p>
          <w:p w14:paraId="19AA149A" w14:textId="77777777" w:rsidR="00FF1600" w:rsidRPr="00134FCC" w:rsidRDefault="00FF1600" w:rsidP="00BB76AA">
            <w:pPr>
              <w:pStyle w:val="FSTableText"/>
              <w:numPr>
                <w:ilvl w:val="0"/>
                <w:numId w:val="25"/>
              </w:numPr>
              <w:spacing w:before="120" w:after="120"/>
              <w:cnfStyle w:val="000000100000" w:firstRow="0" w:lastRow="0" w:firstColumn="0" w:lastColumn="0" w:oddVBand="0" w:evenVBand="0" w:oddHBand="1" w:evenHBand="0" w:firstRowFirstColumn="0" w:firstRowLastColumn="0" w:lastRowFirstColumn="0" w:lastRowLastColumn="0"/>
            </w:pPr>
            <w:r w:rsidRPr="00134FCC">
              <w:t>Voluntary permission for AOAC 2017.16 will encourage innovation in the food industry with the capacity to measure total dietary fibre by a single, more comprehensive method; new or novel fibre products can be declared in NIP.</w:t>
            </w:r>
          </w:p>
          <w:p w14:paraId="2CE5196F" w14:textId="1D34DF6F" w:rsidR="00FF1600" w:rsidRPr="00134FCC" w:rsidRDefault="00FF1600" w:rsidP="00BB76AA">
            <w:pPr>
              <w:pStyle w:val="FSTableText"/>
              <w:numPr>
                <w:ilvl w:val="0"/>
                <w:numId w:val="25"/>
              </w:numPr>
              <w:spacing w:before="120" w:after="120"/>
              <w:cnfStyle w:val="000000100000" w:firstRow="0" w:lastRow="0" w:firstColumn="0" w:lastColumn="0" w:oddVBand="0" w:evenVBand="0" w:oddHBand="1" w:evenHBand="0" w:firstRowFirstColumn="0" w:firstRowLastColumn="0" w:lastRowFirstColumn="0" w:lastRowLastColumn="0"/>
            </w:pPr>
            <w:r w:rsidRPr="00134FCC">
              <w:t xml:space="preserve">Measurement of IMO is not a major issue as it is not widespread </w:t>
            </w:r>
            <w:r w:rsidR="003572EE">
              <w:t xml:space="preserve">in the </w:t>
            </w:r>
            <w:r w:rsidRPr="00134FCC">
              <w:t>Australian and New Zealand food supply</w:t>
            </w:r>
            <w:r w:rsidR="003572EE">
              <w:t>.</w:t>
            </w:r>
          </w:p>
          <w:p w14:paraId="5E1C9A39" w14:textId="7F44166B" w:rsidR="00FF1600" w:rsidRPr="00134FCC" w:rsidRDefault="003572EE" w:rsidP="00BB76AA">
            <w:pPr>
              <w:pStyle w:val="FSTableText"/>
              <w:numPr>
                <w:ilvl w:val="0"/>
                <w:numId w:val="25"/>
              </w:numPr>
              <w:spacing w:before="120" w:after="120"/>
              <w:cnfStyle w:val="000000100000" w:firstRow="0" w:lastRow="0" w:firstColumn="0" w:lastColumn="0" w:oddVBand="0" w:evenVBand="0" w:oddHBand="1" w:evenHBand="0" w:firstRowFirstColumn="0" w:firstRowLastColumn="0" w:lastRowFirstColumn="0" w:lastRowLastColumn="0"/>
              <w:rPr>
                <w:lang w:eastAsia="en-GB"/>
              </w:rPr>
            </w:pPr>
            <w:r>
              <w:t>Many major manufacturers do</w:t>
            </w:r>
            <w:r w:rsidR="00FF1600" w:rsidRPr="00134FCC">
              <w:t xml:space="preserve"> not currently use GOS or IMO.</w:t>
            </w:r>
          </w:p>
        </w:tc>
      </w:tr>
    </w:tbl>
    <w:p w14:paraId="31401AEB" w14:textId="77777777" w:rsidR="00227EB6" w:rsidRDefault="00FF1600" w:rsidP="00227EB6">
      <w:pPr>
        <w:sectPr w:rsidR="00227EB6" w:rsidSect="00227EB6">
          <w:pgSz w:w="16838" w:h="11906" w:orient="landscape" w:code="9"/>
          <w:pgMar w:top="1418" w:right="1418" w:bottom="1418" w:left="1418" w:header="709" w:footer="709" w:gutter="0"/>
          <w:cols w:space="708"/>
          <w:docGrid w:linePitch="360"/>
        </w:sectPr>
      </w:pPr>
      <w:bookmarkStart w:id="79" w:name="_Toc370223472"/>
      <w:bookmarkStart w:id="80" w:name="_Toc370225387"/>
      <w:bookmarkStart w:id="81" w:name="_Toc309291812"/>
      <w:bookmarkStart w:id="82" w:name="_Toc175381442"/>
      <w:bookmarkEnd w:id="73"/>
      <w:bookmarkEnd w:id="74"/>
      <w:bookmarkEnd w:id="75"/>
      <w:bookmarkEnd w:id="76"/>
      <w:bookmarkEnd w:id="77"/>
      <w:bookmarkEnd w:id="78"/>
      <w:r>
        <w:br w:type="page"/>
      </w:r>
    </w:p>
    <w:p w14:paraId="2D0BF99D" w14:textId="457DCE14" w:rsidR="002C1A3B" w:rsidRPr="00932F14" w:rsidRDefault="002C1A3B" w:rsidP="00D40130">
      <w:pPr>
        <w:pStyle w:val="Heading2"/>
        <w:numPr>
          <w:ilvl w:val="1"/>
          <w:numId w:val="23"/>
        </w:numPr>
      </w:pPr>
      <w:bookmarkStart w:id="83" w:name="_Toc86240832"/>
      <w:r w:rsidRPr="00932F14">
        <w:lastRenderedPageBreak/>
        <w:t xml:space="preserve">Risk </w:t>
      </w:r>
      <w:r>
        <w:t>a</w:t>
      </w:r>
      <w:r w:rsidRPr="00932F14">
        <w:t>ssessment</w:t>
      </w:r>
      <w:bookmarkEnd w:id="79"/>
      <w:bookmarkEnd w:id="80"/>
      <w:bookmarkEnd w:id="83"/>
      <w:r w:rsidRPr="00932F14">
        <w:t xml:space="preserve"> </w:t>
      </w:r>
    </w:p>
    <w:p w14:paraId="01E65D6D" w14:textId="5F30B009" w:rsidR="00C11565" w:rsidRPr="0012515C" w:rsidRDefault="00C17785" w:rsidP="00C11565">
      <w:pPr>
        <w:widowControl/>
        <w:spacing w:before="120"/>
        <w:rPr>
          <w:bCs/>
          <w:sz w:val="20"/>
          <w:szCs w:val="20"/>
        </w:rPr>
      </w:pPr>
      <w:bookmarkStart w:id="84" w:name="_Toc370223473"/>
      <w:bookmarkStart w:id="85" w:name="_Toc370225388"/>
      <w:bookmarkStart w:id="86" w:name="_Toc175381450"/>
      <w:bookmarkEnd w:id="81"/>
      <w:bookmarkEnd w:id="82"/>
      <w:r>
        <w:rPr>
          <w:rFonts w:cs="Arial"/>
          <w:lang w:eastAsia="en-AU"/>
        </w:rPr>
        <w:t>AOAC 2017.16</w:t>
      </w:r>
      <w:r w:rsidR="00AC0E36">
        <w:rPr>
          <w:rFonts w:cs="Arial"/>
          <w:lang w:eastAsia="en-AU"/>
        </w:rPr>
        <w:t xml:space="preserve"> </w:t>
      </w:r>
      <w:r>
        <w:rPr>
          <w:rFonts w:cs="Arial"/>
          <w:lang w:eastAsia="en-AU"/>
        </w:rPr>
        <w:t xml:space="preserve">is an </w:t>
      </w:r>
      <w:r w:rsidRPr="00770AC2">
        <w:rPr>
          <w:rFonts w:cs="Arial"/>
          <w:lang w:eastAsia="en-AU"/>
        </w:rPr>
        <w:t xml:space="preserve">analytical method for the determination of </w:t>
      </w:r>
      <w:r>
        <w:rPr>
          <w:rFonts w:cs="Arial"/>
          <w:lang w:eastAsia="en-AU"/>
        </w:rPr>
        <w:t>total</w:t>
      </w:r>
      <w:r>
        <w:rPr>
          <w:rFonts w:cs="Arial"/>
          <w:szCs w:val="22"/>
        </w:rPr>
        <w:t xml:space="preserve"> dietary fibre</w:t>
      </w:r>
      <w:r>
        <w:rPr>
          <w:rStyle w:val="FootnoteReference"/>
        </w:rPr>
        <w:footnoteReference w:id="10"/>
      </w:r>
      <w:r>
        <w:rPr>
          <w:rFonts w:cs="Arial"/>
          <w:szCs w:val="22"/>
        </w:rPr>
        <w:t xml:space="preserve"> in foods and food ingredients. </w:t>
      </w:r>
      <w:r w:rsidR="00C11565">
        <w:rPr>
          <w:szCs w:val="22"/>
        </w:rPr>
        <w:t>During the assessment</w:t>
      </w:r>
      <w:r w:rsidR="00F97FA9">
        <w:rPr>
          <w:szCs w:val="22"/>
        </w:rPr>
        <w:t xml:space="preserve"> of A1178</w:t>
      </w:r>
      <w:r w:rsidR="00C11565">
        <w:rPr>
          <w:szCs w:val="22"/>
        </w:rPr>
        <w:t>, c</w:t>
      </w:r>
      <w:r w:rsidR="00C11565">
        <w:t xml:space="preserve">onsideration was given to </w:t>
      </w:r>
      <w:r w:rsidR="00C11565" w:rsidRPr="00231EDF">
        <w:t xml:space="preserve">AOAC 2009.01 </w:t>
      </w:r>
      <w:r w:rsidR="00C11565">
        <w:t>(</w:t>
      </w:r>
      <w:r w:rsidR="00C11565" w:rsidRPr="00231EDF">
        <w:t>the predecessor method to AOAC 2017.16</w:t>
      </w:r>
      <w:r w:rsidR="00C11565">
        <w:t>)</w:t>
      </w:r>
      <w:r w:rsidR="00C11565" w:rsidRPr="00231EDF">
        <w:t xml:space="preserve">. </w:t>
      </w:r>
      <w:r w:rsidR="000F6BB0" w:rsidRPr="00231EDF">
        <w:t xml:space="preserve">AOAC 2009.01 </w:t>
      </w:r>
      <w:r w:rsidR="00C11565" w:rsidRPr="00231EDF">
        <w:t xml:space="preserve">is not permitted in the Code but </w:t>
      </w:r>
      <w:r w:rsidR="001073BA">
        <w:t xml:space="preserve">was </w:t>
      </w:r>
      <w:r w:rsidR="00C11565" w:rsidRPr="00231EDF">
        <w:t xml:space="preserve">accepted as a method of analysis for total dietary fibre by Codex and </w:t>
      </w:r>
      <w:r w:rsidR="001073BA">
        <w:t>is used b</w:t>
      </w:r>
      <w:r w:rsidR="00007FD7">
        <w:t>y</w:t>
      </w:r>
      <w:r w:rsidR="001073BA">
        <w:t xml:space="preserve"> </w:t>
      </w:r>
      <w:r w:rsidR="00C11565" w:rsidRPr="00231EDF">
        <w:t>some countries</w:t>
      </w:r>
      <w:r w:rsidR="00C11565">
        <w:t xml:space="preserve"> comparable to Australia and New Zealand</w:t>
      </w:r>
      <w:r w:rsidR="00C11565" w:rsidRPr="00231EDF">
        <w:t xml:space="preserve"> such as Canada</w:t>
      </w:r>
      <w:r w:rsidR="00BB76AA">
        <w:t>,</w:t>
      </w:r>
      <w:r w:rsidR="00C11565">
        <w:t xml:space="preserve"> </w:t>
      </w:r>
      <w:r w:rsidR="00C11565" w:rsidRPr="00231EDF">
        <w:t xml:space="preserve">the </w:t>
      </w:r>
      <w:r w:rsidR="00BB76AA">
        <w:t>US</w:t>
      </w:r>
      <w:r w:rsidR="00C11565">
        <w:t>,</w:t>
      </w:r>
      <w:r w:rsidR="00C11565" w:rsidRPr="00231EDF">
        <w:t xml:space="preserve"> and </w:t>
      </w:r>
      <w:r w:rsidR="00BB76AA">
        <w:t>the EU</w:t>
      </w:r>
      <w:r w:rsidR="00C11565" w:rsidRPr="00231EDF">
        <w:t xml:space="preserve">. Codex </w:t>
      </w:r>
      <w:r w:rsidR="00436FB0">
        <w:t>is likely to adopt</w:t>
      </w:r>
      <w:r w:rsidR="00C11565">
        <w:t xml:space="preserve"> </w:t>
      </w:r>
      <w:r w:rsidR="00C11565">
        <w:rPr>
          <w:bCs/>
        </w:rPr>
        <w:t xml:space="preserve">AOAC 2017.16 </w:t>
      </w:r>
      <w:r w:rsidR="00BB76AA">
        <w:rPr>
          <w:bCs/>
        </w:rPr>
        <w:t xml:space="preserve">in place of </w:t>
      </w:r>
      <w:r w:rsidR="00C11565">
        <w:rPr>
          <w:bCs/>
        </w:rPr>
        <w:t>AOAC 2009.01</w:t>
      </w:r>
      <w:r w:rsidR="00C11565">
        <w:t xml:space="preserve"> (for action at CAC44 in November 2021)</w:t>
      </w:r>
      <w:r w:rsidR="00C11565" w:rsidRPr="00231EDF">
        <w:t>.</w:t>
      </w:r>
      <w:r w:rsidR="00C11565">
        <w:t xml:space="preserve"> </w:t>
      </w:r>
      <w:r w:rsidR="00294251">
        <w:t>AOAC 2009.01 may continue to be used by some countries, but as it measures the same low and high molecular weight dietary fibre as AOAC 2017.16, this is not expected to result in significant dietary fibre value variations (less than the current variation with AOAC 985.29 and 991.41).</w:t>
      </w:r>
      <w:r w:rsidR="00F8222E">
        <w:t xml:space="preserve"> </w:t>
      </w:r>
      <w:r w:rsidR="00C11565">
        <w:rPr>
          <w:rFonts w:cs="Arial"/>
          <w:szCs w:val="22"/>
        </w:rPr>
        <w:t xml:space="preserve">Based on best available scientific evidence, </w:t>
      </w:r>
      <w:r w:rsidR="00C11565">
        <w:t xml:space="preserve">FSANZ considers </w:t>
      </w:r>
      <w:r w:rsidR="00C11565">
        <w:rPr>
          <w:lang w:bidi="ar-SA"/>
        </w:rPr>
        <w:t>AOAC 2017.16 is a more suitable method than those currently permitted in the Code for analysis of foods containing a wide range of high and low molecular weight dietary fibres because it:</w:t>
      </w:r>
    </w:p>
    <w:p w14:paraId="0D73BE19" w14:textId="77777777" w:rsidR="00C11565" w:rsidRPr="00C11565" w:rsidRDefault="00C11565" w:rsidP="00D40130">
      <w:pPr>
        <w:pStyle w:val="ListParagraph"/>
        <w:widowControl/>
        <w:numPr>
          <w:ilvl w:val="0"/>
          <w:numId w:val="20"/>
        </w:numPr>
        <w:spacing w:before="120" w:after="120"/>
        <w:ind w:left="714" w:hanging="357"/>
        <w:contextualSpacing w:val="0"/>
      </w:pPr>
      <w:r w:rsidRPr="00C11565">
        <w:t>is more comprehensive than older methods in the Code for measuring total dietary fibre</w:t>
      </w:r>
    </w:p>
    <w:p w14:paraId="2C50872C" w14:textId="77777777" w:rsidR="00C11565" w:rsidRPr="00C11565" w:rsidRDefault="00C11565" w:rsidP="00D40130">
      <w:pPr>
        <w:pStyle w:val="ListParagraph"/>
        <w:widowControl/>
        <w:numPr>
          <w:ilvl w:val="0"/>
          <w:numId w:val="20"/>
        </w:numPr>
        <w:spacing w:before="120" w:after="120"/>
        <w:ind w:left="714" w:hanging="357"/>
        <w:contextualSpacing w:val="0"/>
      </w:pPr>
      <w:r w:rsidRPr="00C11565">
        <w:t>has a similar level of precision to older methods in the Code for total dietary fibre (AOAC 985.29, 991.43 and 2001.03)</w:t>
      </w:r>
    </w:p>
    <w:p w14:paraId="285E5E67" w14:textId="77777777" w:rsidR="00C11565" w:rsidRPr="00C11565" w:rsidRDefault="00C11565" w:rsidP="00D40130">
      <w:pPr>
        <w:pStyle w:val="ListParagraph"/>
        <w:widowControl/>
        <w:numPr>
          <w:ilvl w:val="0"/>
          <w:numId w:val="20"/>
        </w:numPr>
        <w:spacing w:before="120" w:after="120"/>
        <w:ind w:left="714" w:hanging="357"/>
        <w:contextualSpacing w:val="0"/>
      </w:pPr>
      <w:r w:rsidRPr="00C11565">
        <w:t>has good recovery (mean recovery of 97.4% from seven samples)</w:t>
      </w:r>
    </w:p>
    <w:p w14:paraId="475870D5" w14:textId="77777777" w:rsidR="00C11565" w:rsidRPr="00C11565" w:rsidRDefault="00C11565" w:rsidP="00D40130">
      <w:pPr>
        <w:pStyle w:val="ListParagraph"/>
        <w:widowControl/>
        <w:numPr>
          <w:ilvl w:val="0"/>
          <w:numId w:val="20"/>
        </w:numPr>
        <w:spacing w:before="120" w:after="120"/>
        <w:ind w:left="714" w:hanging="357"/>
        <w:contextualSpacing w:val="0"/>
      </w:pPr>
      <w:r w:rsidRPr="00C11565">
        <w:t>avoids the need to account for the double counting of specific dietary fibre fractions if total dietary fibre is measured by two or more methods</w:t>
      </w:r>
    </w:p>
    <w:p w14:paraId="26ED65EF" w14:textId="77777777" w:rsidR="00C11565" w:rsidRPr="00C11565" w:rsidRDefault="00C11565" w:rsidP="00D40130">
      <w:pPr>
        <w:pStyle w:val="ListParagraph"/>
        <w:widowControl/>
        <w:numPr>
          <w:ilvl w:val="0"/>
          <w:numId w:val="20"/>
        </w:numPr>
        <w:spacing w:before="120" w:after="120"/>
        <w:ind w:left="714" w:hanging="357"/>
        <w:contextualSpacing w:val="0"/>
      </w:pPr>
      <w:r w:rsidRPr="00C11565">
        <w:t>has an incubation temperature that matches physiological conditions (37°C) and incubation time (4 h) that, compared with existing methods, aligns more closely to conditions for the digestion of dietary fibre in the small intestine</w:t>
      </w:r>
    </w:p>
    <w:p w14:paraId="7C6C5165" w14:textId="3307B7F9" w:rsidR="00C11565" w:rsidRPr="00C11565" w:rsidRDefault="00C11565" w:rsidP="00D40130">
      <w:pPr>
        <w:pStyle w:val="ListParagraph"/>
        <w:widowControl/>
        <w:numPr>
          <w:ilvl w:val="0"/>
          <w:numId w:val="20"/>
        </w:numPr>
        <w:spacing w:before="120" w:after="120"/>
        <w:ind w:left="714" w:hanging="357"/>
        <w:contextualSpacing w:val="0"/>
      </w:pPr>
      <w:r w:rsidRPr="00C11565">
        <w:t xml:space="preserve">has substantially increased enzyme levels (compared to AOAC 985.29, 991.43 and 2009.01) so that </w:t>
      </w:r>
      <w:r w:rsidR="00CF04DD">
        <w:t xml:space="preserve">it </w:t>
      </w:r>
      <w:r w:rsidRPr="00C11565">
        <w:t xml:space="preserve">more closely measures resistant starch values in line with those seen in AOAC 2002.02, </w:t>
      </w:r>
      <w:r w:rsidR="00CF04DD">
        <w:t xml:space="preserve">and </w:t>
      </w:r>
      <w:r w:rsidRPr="00C11565">
        <w:t>resolves the underestimation of fructo-oligosaccharide and overestimation of resistant maltodextrin a</w:t>
      </w:r>
      <w:r w:rsidR="00CF04DD">
        <w:t>s</w:t>
      </w:r>
      <w:r w:rsidRPr="00C11565">
        <w:t xml:space="preserve"> seen in AOAC 2009.01.</w:t>
      </w:r>
    </w:p>
    <w:p w14:paraId="789AFB28" w14:textId="77777777" w:rsidR="00862870" w:rsidRDefault="00862870" w:rsidP="00862870">
      <w:pPr>
        <w:widowControl/>
        <w:spacing w:before="120" w:after="120"/>
      </w:pPr>
      <w:r>
        <w:t>AOAC 2017.16 measures the components of dietary fibre that are measured by methods of analysis currently permitted by the Code for total dietary fibre (i.e. 985.29, 991.43 and 2001.03) and for specifically named dietary fibres. An exception is GOS. AOAC 2017.16 includes GOS in its measurement of total dietary fibre. FSANZ therefore considered whether GOS meets the Code’s definition of dietary fibre.</w:t>
      </w:r>
    </w:p>
    <w:p w14:paraId="6CA21E72" w14:textId="164D79A8" w:rsidR="00862870" w:rsidRDefault="00862870" w:rsidP="00862870">
      <w:pPr>
        <w:widowControl/>
        <w:spacing w:before="120" w:after="120"/>
      </w:pPr>
      <w:r>
        <w:t>GOS has been found to meet certain criteria for the definition: fraction of the edible part of plants or their extracts, or synthetic analogues (naturally</w:t>
      </w:r>
      <w:r w:rsidR="00BE0A66">
        <w:t xml:space="preserve"> </w:t>
      </w:r>
      <w:r>
        <w:t>occurring GOS in dairy foods does not meet this); resistance to digestion and absorption in the small intestine; usually partial or complete fermentation in the large intestine; the minimum degree of polymerisation (by virtue of analytical methods); and is not lignin.</w:t>
      </w:r>
    </w:p>
    <w:p w14:paraId="2276F16E" w14:textId="77777777" w:rsidR="00862870" w:rsidRDefault="00862870" w:rsidP="00862870">
      <w:pPr>
        <w:widowControl/>
        <w:spacing w:before="120" w:after="120"/>
      </w:pPr>
      <w:r>
        <w:t xml:space="preserve">The definition also requires that GOS promotes at least one of three beneficial physiological effects: laxation; reduction in blood cholesterol; and/or modulation of blood glucose. </w:t>
      </w:r>
    </w:p>
    <w:p w14:paraId="4818BFBC" w14:textId="41FF4416" w:rsidR="00862870" w:rsidRDefault="00862870" w:rsidP="00862870">
      <w:pPr>
        <w:widowControl/>
        <w:spacing w:before="120" w:after="120"/>
      </w:pPr>
      <w:r>
        <w:t>The body of evidence about the physiological effects of GOS only includes results from clinical trials which used synthetic analogues, not the natural forms. FSANZ’s assessment found that t</w:t>
      </w:r>
      <w:r w:rsidR="00424EB4">
        <w:t xml:space="preserve">he consumption of GOS does not </w:t>
      </w:r>
      <w:r>
        <w:t xml:space="preserve">promote the three beneficial physiological effects listed in the Code. Therefore, insofar as naturally occurring GOS is concerned, similar </w:t>
      </w:r>
      <w:r>
        <w:lastRenderedPageBreak/>
        <w:t>physiological effects are inferred on the basis of structural similarities to synthetic analogues and extend from an indirect body of evidence (i.e. synthetic analogues). Based on the evidence FSANZ concludes GOS in any form does not meet all criteria for the Code’s definition of dietary fibre.</w:t>
      </w:r>
    </w:p>
    <w:p w14:paraId="788060AA" w14:textId="295031CD" w:rsidR="00862870" w:rsidRDefault="00862870" w:rsidP="00862870">
      <w:pPr>
        <w:widowControl/>
        <w:spacing w:before="120" w:after="120"/>
      </w:pPr>
      <w:r>
        <w:t>The above means that the use of AOAC 2017.16 would result in an overestimate of total dietary fibre in GOS-containing foods based on the Code</w:t>
      </w:r>
      <w:r w:rsidR="009C52BC">
        <w:t>’</w:t>
      </w:r>
      <w:r>
        <w:t>s definition of dietary fibre.</w:t>
      </w:r>
    </w:p>
    <w:p w14:paraId="15B92AFF" w14:textId="3A08FCC5" w:rsidR="00862870" w:rsidRDefault="00862870" w:rsidP="00862870">
      <w:pPr>
        <w:widowControl/>
        <w:spacing w:before="120" w:after="120"/>
        <w:rPr>
          <w:lang w:bidi="ar-SA"/>
        </w:rPr>
      </w:pPr>
      <w:r>
        <w:t>Based on the available data</w:t>
      </w:r>
      <w:r w:rsidR="0000713E">
        <w:t>,</w:t>
      </w:r>
      <w:r>
        <w:t xml:space="preserve"> plant-based foods contain naturally occurring GOS at levels on average of 0.85 g/100</w:t>
      </w:r>
      <w:r w:rsidR="000B5E75">
        <w:t xml:space="preserve"> </w:t>
      </w:r>
      <w:r>
        <w:t>g and up to 4 g/100</w:t>
      </w:r>
      <w:r w:rsidR="000B5E75">
        <w:t xml:space="preserve"> </w:t>
      </w:r>
      <w:r>
        <w:t>g for a small number of foods, and dairy products up to 0.6 g/100</w:t>
      </w:r>
      <w:r w:rsidR="000B5E75">
        <w:t xml:space="preserve"> </w:t>
      </w:r>
      <w:r>
        <w:t xml:space="preserve">g. GOS was present in about 25% of the surveyed plant foods. </w:t>
      </w:r>
      <w:r w:rsidR="00CB4F1F">
        <w:t xml:space="preserve">From the seven foods with available naturally occurring GOS data that were also measured using AOAC 2017.16, it appears that </w:t>
      </w:r>
      <w:r w:rsidR="00CB4F1F">
        <w:rPr>
          <w:rFonts w:cs="Arial"/>
          <w:szCs w:val="22"/>
        </w:rPr>
        <w:t xml:space="preserve">naturally occurring </w:t>
      </w:r>
      <w:r w:rsidR="00CB4F1F">
        <w:rPr>
          <w:lang w:bidi="ar-SA"/>
        </w:rPr>
        <w:t>GOS contributes about 3-</w:t>
      </w:r>
      <w:r w:rsidR="00CB4F1F" w:rsidRPr="00467B54">
        <w:rPr>
          <w:lang w:bidi="ar-SA"/>
        </w:rPr>
        <w:t xml:space="preserve">6% of </w:t>
      </w:r>
      <w:r w:rsidR="00CB4F1F">
        <w:rPr>
          <w:lang w:bidi="ar-SA"/>
        </w:rPr>
        <w:t>total</w:t>
      </w:r>
      <w:r w:rsidR="00CB4F1F" w:rsidRPr="00467B54">
        <w:rPr>
          <w:lang w:bidi="ar-SA"/>
        </w:rPr>
        <w:t xml:space="preserve"> dietary fibre </w:t>
      </w:r>
      <w:r w:rsidR="00CB4F1F">
        <w:rPr>
          <w:lang w:bidi="ar-SA"/>
        </w:rPr>
        <w:t>in GOS-containing foods.</w:t>
      </w:r>
      <w:r w:rsidR="00CB4F1F" w:rsidRPr="00C4701E" w:rsidDel="009D0653">
        <w:rPr>
          <w:rFonts w:cs="Arial"/>
        </w:rPr>
        <w:t xml:space="preserve"> </w:t>
      </w:r>
      <w:r>
        <w:t>Likely due to its cost, GOS is not added to many foods in Australia and New Zealand beyond infant formula products, infant food and formulated supplementary foods for young children. Halmos et al. (2015) estimated a daily GOS consumption of 1.1 g/day</w:t>
      </w:r>
      <w:r w:rsidR="00BE3666">
        <w:t xml:space="preserve"> in Australian adults</w:t>
      </w:r>
      <w:r>
        <w:t xml:space="preserve">. </w:t>
      </w:r>
      <w:r w:rsidR="006E2C9E">
        <w:t>B</w:t>
      </w:r>
      <w:r w:rsidR="006E2C9E">
        <w:rPr>
          <w:lang w:bidi="ar-SA"/>
        </w:rPr>
        <w:t>ased on the Code’s definition of dietary fibre, a small number of GOS-containing foods measured with AOAC 2017.16 will have a slight overestimation of dietary fibre values</w:t>
      </w:r>
      <w:r>
        <w:t>.</w:t>
      </w:r>
    </w:p>
    <w:p w14:paraId="404274B5" w14:textId="1DB82573" w:rsidR="004F06B3" w:rsidRDefault="002C1A3B" w:rsidP="00D40130">
      <w:pPr>
        <w:pStyle w:val="Heading1"/>
        <w:numPr>
          <w:ilvl w:val="0"/>
          <w:numId w:val="23"/>
        </w:numPr>
      </w:pPr>
      <w:bookmarkStart w:id="87" w:name="_Toc86240833"/>
      <w:r>
        <w:t>Risk management</w:t>
      </w:r>
      <w:bookmarkStart w:id="88" w:name="_Toc67321510"/>
      <w:bookmarkStart w:id="89" w:name="_Toc69987918"/>
      <w:bookmarkStart w:id="90" w:name="_Toc70002640"/>
      <w:bookmarkStart w:id="91" w:name="_Toc309291814"/>
      <w:bookmarkStart w:id="92" w:name="_Toc370225389"/>
      <w:bookmarkStart w:id="93" w:name="_Toc286391012"/>
      <w:bookmarkEnd w:id="84"/>
      <w:bookmarkEnd w:id="85"/>
      <w:bookmarkEnd w:id="86"/>
      <w:bookmarkEnd w:id="87"/>
    </w:p>
    <w:p w14:paraId="40BD9003" w14:textId="5A0CC6D9" w:rsidR="005A4DBE" w:rsidRPr="005A4DBE" w:rsidRDefault="00DA1FDD" w:rsidP="00D40130">
      <w:pPr>
        <w:pStyle w:val="Heading2"/>
        <w:numPr>
          <w:ilvl w:val="1"/>
          <w:numId w:val="23"/>
        </w:numPr>
      </w:pPr>
      <w:bookmarkStart w:id="94" w:name="_Toc86240834"/>
      <w:r>
        <w:t xml:space="preserve">Limitations </w:t>
      </w:r>
      <w:r w:rsidR="006228CB">
        <w:t xml:space="preserve">and benefits of </w:t>
      </w:r>
      <w:r>
        <w:t>c</w:t>
      </w:r>
      <w:r w:rsidR="005A4DBE" w:rsidRPr="005A4DBE">
        <w:t>urrent dietary fibre methods of analysis permitted in the Code</w:t>
      </w:r>
      <w:bookmarkEnd w:id="88"/>
      <w:bookmarkEnd w:id="89"/>
      <w:bookmarkEnd w:id="90"/>
      <w:bookmarkEnd w:id="94"/>
    </w:p>
    <w:p w14:paraId="7C23F5A1" w14:textId="433467A1" w:rsidR="00755239" w:rsidRDefault="005A4DBE" w:rsidP="003648E6">
      <w:pPr>
        <w:widowControl/>
        <w:shd w:val="clear" w:color="auto" w:fill="FFFFFF"/>
        <w:spacing w:before="120" w:after="120"/>
        <w:rPr>
          <w:rFonts w:cs="Arial"/>
          <w:szCs w:val="22"/>
        </w:rPr>
      </w:pPr>
      <w:r>
        <w:rPr>
          <w:rFonts w:cs="Arial"/>
          <w:szCs w:val="22"/>
        </w:rPr>
        <w:t>S</w:t>
      </w:r>
      <w:r w:rsidRPr="00CB73D9">
        <w:rPr>
          <w:rFonts w:cs="Arial"/>
          <w:szCs w:val="22"/>
        </w:rPr>
        <w:t>ubsection 1.2.8</w:t>
      </w:r>
      <w:r w:rsidR="00B621DF">
        <w:rPr>
          <w:rFonts w:cs="Arial"/>
          <w:szCs w:val="22"/>
        </w:rPr>
        <w:t>—</w:t>
      </w:r>
      <w:r w:rsidRPr="00CB73D9">
        <w:rPr>
          <w:rFonts w:cs="Arial"/>
          <w:szCs w:val="22"/>
        </w:rPr>
        <w:t xml:space="preserve">7(7) </w:t>
      </w:r>
      <w:r>
        <w:rPr>
          <w:rFonts w:cs="Arial"/>
          <w:szCs w:val="22"/>
        </w:rPr>
        <w:t xml:space="preserve">of the Code </w:t>
      </w:r>
      <w:r w:rsidRPr="00CB73D9">
        <w:rPr>
          <w:rFonts w:cs="Arial"/>
          <w:szCs w:val="22"/>
        </w:rPr>
        <w:t xml:space="preserve">requires the declaration of dietary fibre </w:t>
      </w:r>
      <w:r>
        <w:rPr>
          <w:rFonts w:cs="Arial"/>
          <w:szCs w:val="22"/>
        </w:rPr>
        <w:t>on</w:t>
      </w:r>
      <w:r w:rsidRPr="00CB73D9">
        <w:rPr>
          <w:rFonts w:cs="Arial"/>
          <w:szCs w:val="22"/>
        </w:rPr>
        <w:t xml:space="preserve"> a</w:t>
      </w:r>
      <w:r>
        <w:rPr>
          <w:rFonts w:cs="Arial"/>
          <w:szCs w:val="22"/>
        </w:rPr>
        <w:t xml:space="preserve"> NIP</w:t>
      </w:r>
      <w:r w:rsidRPr="00CB73D9" w:rsidDel="003A1A5B">
        <w:rPr>
          <w:rFonts w:cs="Arial"/>
          <w:szCs w:val="22"/>
        </w:rPr>
        <w:t xml:space="preserve"> </w:t>
      </w:r>
      <w:r w:rsidRPr="00CB73D9">
        <w:rPr>
          <w:rFonts w:cs="Arial"/>
          <w:szCs w:val="22"/>
        </w:rPr>
        <w:t>to be</w:t>
      </w:r>
      <w:r>
        <w:rPr>
          <w:rFonts w:cs="Arial"/>
          <w:szCs w:val="22"/>
        </w:rPr>
        <w:t xml:space="preserve"> a declaration of dietary fibre</w:t>
      </w:r>
      <w:r w:rsidRPr="00CB73D9">
        <w:rPr>
          <w:rFonts w:cs="Arial"/>
          <w:szCs w:val="22"/>
        </w:rPr>
        <w:t xml:space="preserve"> determined in accordance with section S11—4.</w:t>
      </w:r>
      <w:r w:rsidR="004568D6">
        <w:rPr>
          <w:rFonts w:cs="Arial"/>
          <w:bCs/>
          <w:szCs w:val="20"/>
          <w:lang w:eastAsia="en-AU" w:bidi="ar-SA"/>
        </w:rPr>
        <w:t xml:space="preserve"> </w:t>
      </w:r>
      <w:r w:rsidRPr="000C3852">
        <w:rPr>
          <w:rFonts w:cs="Arial"/>
          <w:szCs w:val="22"/>
        </w:rPr>
        <w:t>Table 1</w:t>
      </w:r>
      <w:r>
        <w:rPr>
          <w:rFonts w:cs="Arial"/>
          <w:szCs w:val="22"/>
        </w:rPr>
        <w:t xml:space="preserve"> in Supporting Document 1 (</w:t>
      </w:r>
      <w:r w:rsidRPr="000C3852">
        <w:rPr>
          <w:rFonts w:cs="Arial"/>
          <w:szCs w:val="22"/>
        </w:rPr>
        <w:t>SD1</w:t>
      </w:r>
      <w:r>
        <w:rPr>
          <w:rFonts w:cs="Arial"/>
          <w:szCs w:val="22"/>
        </w:rPr>
        <w:t xml:space="preserve">) </w:t>
      </w:r>
      <w:r w:rsidRPr="000C3852">
        <w:rPr>
          <w:rFonts w:cs="Arial"/>
          <w:szCs w:val="22"/>
        </w:rPr>
        <w:t>outlines</w:t>
      </w:r>
      <w:r w:rsidR="00F34397">
        <w:rPr>
          <w:rFonts w:cs="Arial"/>
          <w:szCs w:val="22"/>
        </w:rPr>
        <w:t xml:space="preserve"> the</w:t>
      </w:r>
      <w:r w:rsidRPr="000C3852">
        <w:rPr>
          <w:rFonts w:cs="Arial"/>
          <w:szCs w:val="22"/>
        </w:rPr>
        <w:t xml:space="preserve"> </w:t>
      </w:r>
      <w:r>
        <w:t xml:space="preserve">dietary fibre components </w:t>
      </w:r>
      <w:r w:rsidR="006228CB">
        <w:t>each method</w:t>
      </w:r>
      <w:r w:rsidR="008C140F">
        <w:t xml:space="preserve"> in section </w:t>
      </w:r>
      <w:r w:rsidR="008C140F" w:rsidRPr="008C140F">
        <w:t>S11—4</w:t>
      </w:r>
      <w:r w:rsidR="00F34397">
        <w:t xml:space="preserve"> </w:t>
      </w:r>
      <w:r w:rsidR="006228CB">
        <w:t>measure</w:t>
      </w:r>
      <w:r w:rsidR="006228CB" w:rsidRPr="0063348A">
        <w:t>s.</w:t>
      </w:r>
      <w:r w:rsidR="004568D6" w:rsidRPr="0063348A">
        <w:rPr>
          <w:rFonts w:cs="Arial"/>
          <w:bCs/>
          <w:szCs w:val="20"/>
          <w:lang w:eastAsia="en-AU" w:bidi="ar-SA"/>
        </w:rPr>
        <w:t xml:space="preserve"> </w:t>
      </w:r>
      <w:r w:rsidR="00F34397" w:rsidRPr="0063348A">
        <w:rPr>
          <w:rFonts w:cs="Arial"/>
          <w:szCs w:val="22"/>
        </w:rPr>
        <w:t>FSANZ is not proposing to remove these methods from the Code</w:t>
      </w:r>
      <w:r w:rsidR="00F34397" w:rsidRPr="0038130A">
        <w:rPr>
          <w:rFonts w:cs="Arial"/>
          <w:szCs w:val="22"/>
        </w:rPr>
        <w:t xml:space="preserve"> but they are discussed </w:t>
      </w:r>
      <w:r w:rsidR="00755239">
        <w:rPr>
          <w:rFonts w:cs="Arial"/>
          <w:szCs w:val="22"/>
        </w:rPr>
        <w:t xml:space="preserve">in this report </w:t>
      </w:r>
      <w:r w:rsidR="00F34397" w:rsidRPr="0038130A">
        <w:rPr>
          <w:rFonts w:cs="Arial"/>
          <w:szCs w:val="22"/>
        </w:rPr>
        <w:t>within the context of limitations and benefits of individual methods.</w:t>
      </w:r>
    </w:p>
    <w:p w14:paraId="2263D50F" w14:textId="21B2BF52" w:rsidR="006228CB" w:rsidRPr="004568D6" w:rsidRDefault="005A4DBE" w:rsidP="003648E6">
      <w:pPr>
        <w:widowControl/>
        <w:shd w:val="clear" w:color="auto" w:fill="FFFFFF"/>
        <w:spacing w:before="120" w:after="120"/>
        <w:rPr>
          <w:rFonts w:cs="Arial"/>
          <w:bCs/>
          <w:szCs w:val="20"/>
          <w:lang w:eastAsia="en-AU" w:bidi="ar-SA"/>
        </w:rPr>
      </w:pPr>
      <w:r w:rsidRPr="000C3852">
        <w:rPr>
          <w:rFonts w:cs="Arial"/>
          <w:szCs w:val="22"/>
        </w:rPr>
        <w:t xml:space="preserve">AOAC methods </w:t>
      </w:r>
      <w:r w:rsidRPr="000C3852">
        <w:rPr>
          <w:rFonts w:cs="Arial"/>
          <w:bCs/>
          <w:szCs w:val="20"/>
          <w:lang w:eastAsia="en-AU" w:bidi="ar-SA"/>
        </w:rPr>
        <w:t>985.29 and 991.43</w:t>
      </w:r>
      <w:r w:rsidR="006228CB">
        <w:rPr>
          <w:rFonts w:cs="Arial"/>
          <w:szCs w:val="22"/>
        </w:rPr>
        <w:t xml:space="preserve"> have been permitted for us</w:t>
      </w:r>
      <w:r w:rsidR="008C140F">
        <w:rPr>
          <w:rFonts w:cs="Arial"/>
          <w:szCs w:val="22"/>
        </w:rPr>
        <w:t>e</w:t>
      </w:r>
      <w:r w:rsidR="006228CB">
        <w:rPr>
          <w:rFonts w:cs="Arial"/>
          <w:szCs w:val="22"/>
        </w:rPr>
        <w:t xml:space="preserve"> in Australia and New Zealand for some time and are affordable for industry to </w:t>
      </w:r>
      <w:r w:rsidR="006228CB" w:rsidRPr="000C3852">
        <w:rPr>
          <w:rFonts w:cs="Arial"/>
          <w:szCs w:val="22"/>
        </w:rPr>
        <w:t xml:space="preserve">measure </w:t>
      </w:r>
      <w:r w:rsidR="006228CB">
        <w:rPr>
          <w:rFonts w:cs="Arial"/>
          <w:szCs w:val="22"/>
        </w:rPr>
        <w:t xml:space="preserve">samples containing HMWDF, also known as non-starch polysaccharides. </w:t>
      </w:r>
    </w:p>
    <w:p w14:paraId="20116C88" w14:textId="7EA7D4B4" w:rsidR="005A4DBE" w:rsidRPr="00692494" w:rsidRDefault="006228CB" w:rsidP="003648E6">
      <w:pPr>
        <w:widowControl/>
        <w:shd w:val="clear" w:color="auto" w:fill="FFFFFF"/>
        <w:spacing w:before="120" w:after="120"/>
        <w:rPr>
          <w:rFonts w:cs="Arial"/>
          <w:bCs/>
          <w:szCs w:val="20"/>
          <w:lang w:eastAsia="en-AU" w:bidi="ar-SA"/>
        </w:rPr>
      </w:pPr>
      <w:r>
        <w:rPr>
          <w:szCs w:val="22"/>
        </w:rPr>
        <w:t xml:space="preserve">A limitation of </w:t>
      </w:r>
      <w:r w:rsidR="004568D6">
        <w:rPr>
          <w:szCs w:val="22"/>
        </w:rPr>
        <w:t>older</w:t>
      </w:r>
      <w:r w:rsidR="005A4DBE" w:rsidRPr="000C3852">
        <w:rPr>
          <w:rFonts w:cs="Arial"/>
          <w:bCs/>
          <w:szCs w:val="20"/>
          <w:lang w:eastAsia="en-AU" w:bidi="ar-SA"/>
        </w:rPr>
        <w:t xml:space="preserve"> methods </w:t>
      </w:r>
      <w:r w:rsidR="004568D6">
        <w:rPr>
          <w:rFonts w:cs="Arial"/>
          <w:bCs/>
          <w:szCs w:val="20"/>
          <w:lang w:eastAsia="en-AU" w:bidi="ar-SA"/>
        </w:rPr>
        <w:t xml:space="preserve">permitted in the Code is that they </w:t>
      </w:r>
      <w:r w:rsidR="005A4DBE" w:rsidRPr="000C3852">
        <w:rPr>
          <w:rFonts w:cs="Arial"/>
          <w:bCs/>
          <w:szCs w:val="20"/>
          <w:lang w:eastAsia="en-AU" w:bidi="ar-SA"/>
        </w:rPr>
        <w:t xml:space="preserve">do not measure </w:t>
      </w:r>
      <w:r w:rsidR="005A4DBE">
        <w:rPr>
          <w:rFonts w:cs="Arial"/>
          <w:bCs/>
          <w:szCs w:val="20"/>
          <w:lang w:eastAsia="en-AU" w:bidi="ar-SA"/>
        </w:rPr>
        <w:t xml:space="preserve">LMWDF such as </w:t>
      </w:r>
      <w:r w:rsidR="005A4DBE">
        <w:rPr>
          <w:rFonts w:cs="Arial"/>
          <w:szCs w:val="22"/>
        </w:rPr>
        <w:t>FOS</w:t>
      </w:r>
      <w:r w:rsidR="005A4DBE">
        <w:rPr>
          <w:rFonts w:cs="Arial"/>
          <w:bCs/>
          <w:szCs w:val="20"/>
          <w:lang w:eastAsia="en-AU" w:bidi="ar-SA"/>
        </w:rPr>
        <w:t>,</w:t>
      </w:r>
      <w:r w:rsidR="005A4DBE" w:rsidRPr="000C3852">
        <w:rPr>
          <w:rFonts w:cs="Arial"/>
          <w:bCs/>
          <w:szCs w:val="20"/>
          <w:lang w:eastAsia="en-AU" w:bidi="ar-SA"/>
        </w:rPr>
        <w:t xml:space="preserve"> </w:t>
      </w:r>
      <w:r w:rsidR="005A4DBE">
        <w:rPr>
          <w:rFonts w:cs="Arial"/>
          <w:bCs/>
          <w:szCs w:val="20"/>
          <w:lang w:eastAsia="en-AU" w:bidi="ar-SA"/>
        </w:rPr>
        <w:t xml:space="preserve">resistant maltodextrins, </w:t>
      </w:r>
      <w:r w:rsidR="005A4DBE" w:rsidRPr="000C3852">
        <w:rPr>
          <w:rFonts w:cs="Arial"/>
          <w:bCs/>
          <w:szCs w:val="20"/>
          <w:lang w:eastAsia="en-AU" w:bidi="ar-SA"/>
        </w:rPr>
        <w:t xml:space="preserve">or </w:t>
      </w:r>
      <w:r w:rsidR="005A4DBE">
        <w:rPr>
          <w:rFonts w:cs="Arial"/>
          <w:bCs/>
          <w:szCs w:val="20"/>
          <w:lang w:eastAsia="en-AU" w:bidi="ar-SA"/>
        </w:rPr>
        <w:t>polydextrose;</w:t>
      </w:r>
      <w:r w:rsidR="005A4DBE" w:rsidRPr="000C3852">
        <w:rPr>
          <w:rFonts w:cs="Arial"/>
          <w:bCs/>
          <w:szCs w:val="20"/>
          <w:lang w:eastAsia="en-AU" w:bidi="ar-SA"/>
        </w:rPr>
        <w:t xml:space="preserve"> </w:t>
      </w:r>
      <w:r w:rsidR="004568D6">
        <w:rPr>
          <w:rFonts w:cs="Arial"/>
          <w:bCs/>
          <w:szCs w:val="20"/>
          <w:lang w:eastAsia="en-AU" w:bidi="ar-SA"/>
        </w:rPr>
        <w:t xml:space="preserve">and </w:t>
      </w:r>
      <w:r w:rsidR="005A4DBE">
        <w:rPr>
          <w:rFonts w:cs="Arial"/>
          <w:bCs/>
          <w:szCs w:val="20"/>
          <w:lang w:eastAsia="en-AU" w:bidi="ar-SA"/>
        </w:rPr>
        <w:t>they</w:t>
      </w:r>
      <w:r w:rsidR="005A4DBE" w:rsidRPr="000C3852">
        <w:rPr>
          <w:rFonts w:cs="Arial"/>
          <w:bCs/>
          <w:szCs w:val="20"/>
          <w:lang w:eastAsia="en-AU" w:bidi="ar-SA"/>
        </w:rPr>
        <w:t xml:space="preserve"> </w:t>
      </w:r>
      <w:r w:rsidR="004568D6">
        <w:rPr>
          <w:rFonts w:cs="Arial"/>
          <w:bCs/>
          <w:szCs w:val="20"/>
          <w:lang w:eastAsia="en-AU" w:bidi="ar-SA"/>
        </w:rPr>
        <w:t xml:space="preserve">only </w:t>
      </w:r>
      <w:r w:rsidR="005A4DBE">
        <w:rPr>
          <w:rFonts w:cs="Arial"/>
          <w:bCs/>
          <w:szCs w:val="20"/>
          <w:lang w:eastAsia="en-AU" w:bidi="ar-SA"/>
        </w:rPr>
        <w:t xml:space="preserve">partially </w:t>
      </w:r>
      <w:r w:rsidR="005A4DBE" w:rsidRPr="000C3852">
        <w:rPr>
          <w:rFonts w:cs="Arial"/>
          <w:bCs/>
          <w:szCs w:val="20"/>
          <w:lang w:eastAsia="en-AU" w:bidi="ar-SA"/>
        </w:rPr>
        <w:t xml:space="preserve">measure </w:t>
      </w:r>
      <w:r w:rsidR="005A4DBE">
        <w:rPr>
          <w:rFonts w:cs="Arial"/>
          <w:bCs/>
          <w:szCs w:val="20"/>
          <w:lang w:eastAsia="en-AU" w:bidi="ar-SA"/>
        </w:rPr>
        <w:t>inulin and resistant starch</w:t>
      </w:r>
      <w:r w:rsidR="005A4DBE" w:rsidRPr="000C3852">
        <w:rPr>
          <w:rFonts w:cs="Arial"/>
          <w:bCs/>
          <w:szCs w:val="20"/>
          <w:lang w:eastAsia="en-AU" w:bidi="ar-SA"/>
        </w:rPr>
        <w:t>.</w:t>
      </w:r>
      <w:r w:rsidR="005A4DBE">
        <w:rPr>
          <w:rFonts w:cs="Arial"/>
          <w:bCs/>
          <w:szCs w:val="20"/>
          <w:lang w:eastAsia="en-AU" w:bidi="ar-SA"/>
        </w:rPr>
        <w:t xml:space="preserve"> </w:t>
      </w:r>
      <w:r w:rsidR="005A4DBE">
        <w:rPr>
          <w:szCs w:val="22"/>
          <w:lang w:eastAsia="en-AU" w:bidi="ar-SA"/>
        </w:rPr>
        <w:t xml:space="preserve">Method </w:t>
      </w:r>
      <w:r w:rsidR="005A4DBE">
        <w:rPr>
          <w:lang w:eastAsia="en-AU" w:bidi="ar-SA"/>
        </w:rPr>
        <w:t>AOAC 2001.03 (total dietary fibre and resistant maltodextrins) is currently used to analyse foods containing LMWDF</w:t>
      </w:r>
      <w:r w:rsidR="005A4DBE" w:rsidRPr="006B72F0">
        <w:rPr>
          <w:rStyle w:val="FootnoteReference"/>
        </w:rPr>
        <w:footnoteReference w:id="11"/>
      </w:r>
      <w:r w:rsidR="00DA1FDD">
        <w:rPr>
          <w:lang w:eastAsia="en-AU" w:bidi="ar-SA"/>
        </w:rPr>
        <w:t>, however it too underestimates resistant starch</w:t>
      </w:r>
      <w:r w:rsidR="005A4DBE">
        <w:rPr>
          <w:rFonts w:cs="Arial"/>
          <w:szCs w:val="22"/>
        </w:rPr>
        <w:t>.</w:t>
      </w:r>
      <w:r w:rsidR="00F34397" w:rsidRPr="00F34397">
        <w:rPr>
          <w:rFonts w:cs="Arial"/>
          <w:szCs w:val="22"/>
        </w:rPr>
        <w:t xml:space="preserve"> </w:t>
      </w:r>
    </w:p>
    <w:p w14:paraId="2B00BB41" w14:textId="7D92EEF3" w:rsidR="00F6040A" w:rsidRDefault="005A4DBE" w:rsidP="003648E6">
      <w:pPr>
        <w:widowControl/>
        <w:shd w:val="clear" w:color="auto" w:fill="FFFFFF"/>
        <w:spacing w:before="120" w:after="120"/>
        <w:rPr>
          <w:rFonts w:cs="Arial"/>
          <w:szCs w:val="22"/>
        </w:rPr>
      </w:pPr>
      <w:r>
        <w:rPr>
          <w:rFonts w:cs="Arial"/>
          <w:szCs w:val="22"/>
        </w:rPr>
        <w:t xml:space="preserve">To fully capture the dietary fibre content of a food, manufacturers and/or analysts must select </w:t>
      </w:r>
      <w:r w:rsidR="00126D5C">
        <w:rPr>
          <w:rFonts w:cs="Arial"/>
          <w:szCs w:val="22"/>
        </w:rPr>
        <w:t>permitted</w:t>
      </w:r>
      <w:r>
        <w:rPr>
          <w:rFonts w:cs="Arial"/>
          <w:szCs w:val="22"/>
        </w:rPr>
        <w:t xml:space="preserve"> method(s) of analysis that most align with the dietary fibre composition of the food of interest. This requires knowledge of the types of naturally occurring and added dietary fibre sources or ingredients.</w:t>
      </w:r>
      <w:r w:rsidR="00DA1FDD">
        <w:rPr>
          <w:rFonts w:cs="Arial"/>
          <w:szCs w:val="22"/>
        </w:rPr>
        <w:t xml:space="preserve"> </w:t>
      </w:r>
    </w:p>
    <w:p w14:paraId="0143955C" w14:textId="5AFA254E" w:rsidR="005A4DBE" w:rsidRPr="00F6040A" w:rsidRDefault="00DA1FDD" w:rsidP="003648E6">
      <w:pPr>
        <w:widowControl/>
        <w:shd w:val="clear" w:color="auto" w:fill="FFFFFF"/>
        <w:spacing w:before="120" w:after="120"/>
        <w:rPr>
          <w:rFonts w:cs="Arial"/>
          <w:szCs w:val="22"/>
        </w:rPr>
      </w:pPr>
      <w:r>
        <w:rPr>
          <w:rFonts w:cs="Arial"/>
          <w:szCs w:val="22"/>
        </w:rPr>
        <w:t xml:space="preserve">To measure </w:t>
      </w:r>
      <w:r w:rsidR="00755239">
        <w:rPr>
          <w:rFonts w:cs="Arial"/>
          <w:szCs w:val="22"/>
        </w:rPr>
        <w:t>the</w:t>
      </w:r>
      <w:r w:rsidR="004568D6">
        <w:rPr>
          <w:rFonts w:cs="Arial"/>
          <w:szCs w:val="22"/>
        </w:rPr>
        <w:t xml:space="preserve"> true value for</w:t>
      </w:r>
      <w:r>
        <w:rPr>
          <w:rFonts w:cs="Arial"/>
          <w:szCs w:val="22"/>
        </w:rPr>
        <w:t xml:space="preserve"> total dietary fibre, it is currently necessary for analysts to combine one or more methods.</w:t>
      </w:r>
      <w:r w:rsidR="00F6040A">
        <w:rPr>
          <w:rFonts w:cs="Arial"/>
          <w:szCs w:val="22"/>
        </w:rPr>
        <w:t xml:space="preserve"> </w:t>
      </w:r>
      <w:r w:rsidR="005A4DBE">
        <w:t>An Australian food laboratory</w:t>
      </w:r>
      <w:r w:rsidR="005A4DBE" w:rsidRPr="009C37A7">
        <w:t xml:space="preserve"> </w:t>
      </w:r>
      <w:r w:rsidR="005A4DBE">
        <w:t>provided data to FSANZ</w:t>
      </w:r>
      <w:r w:rsidR="005A4DBE" w:rsidRPr="009C37A7">
        <w:t xml:space="preserve"> </w:t>
      </w:r>
      <w:r w:rsidR="005A4DBE">
        <w:t xml:space="preserve">indicating </w:t>
      </w:r>
      <w:r w:rsidR="005A4DBE" w:rsidRPr="009C37A7">
        <w:t xml:space="preserve">methods AOAC 985.29 </w:t>
      </w:r>
      <w:r w:rsidR="005A4DBE">
        <w:t>and</w:t>
      </w:r>
      <w:r w:rsidR="005A4DBE" w:rsidRPr="009C37A7">
        <w:t xml:space="preserve"> 991.43</w:t>
      </w:r>
      <w:r w:rsidR="005A4DBE">
        <w:t xml:space="preserve"> are currently most frequently used</w:t>
      </w:r>
      <w:r w:rsidR="005A4DBE" w:rsidRPr="009C37A7">
        <w:t xml:space="preserve"> to measure the </w:t>
      </w:r>
      <w:r w:rsidR="005A4DBE">
        <w:t>total</w:t>
      </w:r>
      <w:r w:rsidR="005A4DBE" w:rsidRPr="009C37A7">
        <w:rPr>
          <w:rFonts w:cs="Arial"/>
          <w:bCs/>
          <w:szCs w:val="20"/>
          <w:lang w:eastAsia="en-AU" w:bidi="ar-SA"/>
        </w:rPr>
        <w:t xml:space="preserve"> dietary fibre in </w:t>
      </w:r>
      <w:r w:rsidR="005A4DBE">
        <w:rPr>
          <w:rFonts w:cs="Arial"/>
          <w:bCs/>
          <w:szCs w:val="20"/>
          <w:lang w:eastAsia="en-AU" w:bidi="ar-SA"/>
        </w:rPr>
        <w:t xml:space="preserve">foods, often in combination with one or more methods of analysis </w:t>
      </w:r>
      <w:r w:rsidR="004568D6">
        <w:rPr>
          <w:rFonts w:cs="Arial"/>
          <w:bCs/>
          <w:szCs w:val="20"/>
          <w:lang w:eastAsia="en-AU" w:bidi="ar-SA"/>
        </w:rPr>
        <w:t xml:space="preserve">permitted by the Code </w:t>
      </w:r>
      <w:r w:rsidR="005A4DBE">
        <w:rPr>
          <w:rFonts w:cs="Arial"/>
          <w:bCs/>
          <w:szCs w:val="20"/>
          <w:lang w:eastAsia="en-AU" w:bidi="ar-SA"/>
        </w:rPr>
        <w:t>for specifically named dietary fibres</w:t>
      </w:r>
      <w:r w:rsidR="005A4DBE" w:rsidRPr="009C37A7">
        <w:rPr>
          <w:rStyle w:val="FootnoteReference"/>
        </w:rPr>
        <w:footnoteReference w:id="12"/>
      </w:r>
      <w:r w:rsidR="005A4DBE" w:rsidRPr="009C37A7">
        <w:t>.</w:t>
      </w:r>
      <w:r w:rsidR="005A4DBE">
        <w:rPr>
          <w:rFonts w:cs="Arial"/>
          <w:bCs/>
          <w:szCs w:val="20"/>
          <w:lang w:eastAsia="en-AU" w:bidi="ar-SA"/>
        </w:rPr>
        <w:t xml:space="preserve"> </w:t>
      </w:r>
    </w:p>
    <w:p w14:paraId="49108C3E" w14:textId="56C7EE37" w:rsidR="00F6040A" w:rsidRDefault="005A4DBE" w:rsidP="003648E6">
      <w:pPr>
        <w:spacing w:before="120" w:after="120"/>
        <w:rPr>
          <w:rFonts w:cs="Arial"/>
        </w:rPr>
      </w:pPr>
      <w:r>
        <w:rPr>
          <w:rFonts w:eastAsia="Calibri"/>
        </w:rPr>
        <w:lastRenderedPageBreak/>
        <w:t xml:space="preserve">When determining total dietary fibre by adding together the results obtained from two or more methods, there is potential for ‘double counting’ </w:t>
      </w:r>
      <w:r w:rsidR="00F6040A">
        <w:rPr>
          <w:rFonts w:eastAsia="Calibri"/>
        </w:rPr>
        <w:t xml:space="preserve">of certain </w:t>
      </w:r>
      <w:r>
        <w:rPr>
          <w:rFonts w:eastAsia="Calibri"/>
        </w:rPr>
        <w:t xml:space="preserve">fractions that are analysed by </w:t>
      </w:r>
      <w:r w:rsidR="00F6040A">
        <w:rPr>
          <w:rFonts w:eastAsia="Calibri"/>
        </w:rPr>
        <w:t>both</w:t>
      </w:r>
      <w:r>
        <w:rPr>
          <w:rFonts w:eastAsia="Calibri"/>
        </w:rPr>
        <w:t xml:space="preserve"> methods. This issue is addressed to some degree under subsection </w:t>
      </w:r>
      <w:r w:rsidRPr="0065069D">
        <w:rPr>
          <w:rFonts w:eastAsia="Calibri"/>
        </w:rPr>
        <w:t>S11—4(3)</w:t>
      </w:r>
      <w:r>
        <w:rPr>
          <w:rFonts w:eastAsia="Calibri"/>
        </w:rPr>
        <w:t>. It provides that, where</w:t>
      </w:r>
      <w:r w:rsidRPr="0065069D">
        <w:rPr>
          <w:rFonts w:eastAsia="Calibri"/>
        </w:rPr>
        <w:t xml:space="preserve"> the dietary fibre content of a food has been determined by more than one method of analysis, </w:t>
      </w:r>
      <w:r>
        <w:rPr>
          <w:rFonts w:eastAsia="Calibri"/>
        </w:rPr>
        <w:t>the total dietary fibre content can be</w:t>
      </w:r>
      <w:r w:rsidRPr="0065069D">
        <w:rPr>
          <w:rFonts w:eastAsia="Calibri"/>
        </w:rPr>
        <w:t xml:space="preserve"> calculated by</w:t>
      </w:r>
      <w:r>
        <w:rPr>
          <w:rFonts w:eastAsia="Calibri"/>
        </w:rPr>
        <w:t xml:space="preserve"> </w:t>
      </w:r>
      <w:r w:rsidRPr="0065069D">
        <w:rPr>
          <w:rFonts w:eastAsia="Calibri"/>
        </w:rPr>
        <w:t>adding together the results from each method of analysis; and</w:t>
      </w:r>
      <w:r>
        <w:rPr>
          <w:rFonts w:eastAsia="Calibri"/>
        </w:rPr>
        <w:t xml:space="preserve"> </w:t>
      </w:r>
      <w:r w:rsidRPr="0065069D">
        <w:rPr>
          <w:rFonts w:eastAsia="Calibri"/>
        </w:rPr>
        <w:t>subtracting any portion of dietary fibre which has been included in the results of more than one method of analysis.</w:t>
      </w:r>
    </w:p>
    <w:p w14:paraId="6EDD2285" w14:textId="5285A651" w:rsidR="005A4DBE" w:rsidRDefault="00F6040A" w:rsidP="003648E6">
      <w:pPr>
        <w:spacing w:before="120" w:after="120"/>
        <w:rPr>
          <w:rFonts w:cs="Arial"/>
        </w:rPr>
      </w:pPr>
      <w:r>
        <w:rPr>
          <w:rFonts w:cs="Arial"/>
          <w:bCs/>
          <w:szCs w:val="20"/>
          <w:lang w:eastAsia="en-AU" w:bidi="ar-SA"/>
        </w:rPr>
        <w:t xml:space="preserve">A manufacturer could also use pre-existing values </w:t>
      </w:r>
      <w:r w:rsidR="00D417F9">
        <w:rPr>
          <w:rFonts w:cs="Arial"/>
          <w:bCs/>
          <w:szCs w:val="20"/>
          <w:lang w:eastAsia="en-AU" w:bidi="ar-SA"/>
        </w:rPr>
        <w:t xml:space="preserve">determined using methods permitted by the Code </w:t>
      </w:r>
      <w:r w:rsidRPr="00D87F20">
        <w:rPr>
          <w:rFonts w:cs="Arial"/>
          <w:bCs/>
          <w:szCs w:val="20"/>
          <w:lang w:eastAsia="en-AU" w:bidi="ar-SA"/>
        </w:rPr>
        <w:t xml:space="preserve">to </w:t>
      </w:r>
      <w:r>
        <w:rPr>
          <w:rFonts w:cs="Arial"/>
          <w:bCs/>
          <w:szCs w:val="20"/>
          <w:lang w:eastAsia="en-AU" w:bidi="ar-SA"/>
        </w:rPr>
        <w:t>calculate the dietary fibre content</w:t>
      </w:r>
      <w:r w:rsidRPr="00D87F20">
        <w:rPr>
          <w:rFonts w:cs="Arial"/>
          <w:bCs/>
          <w:szCs w:val="20"/>
          <w:lang w:eastAsia="en-AU" w:bidi="ar-SA"/>
        </w:rPr>
        <w:t xml:space="preserve"> of </w:t>
      </w:r>
      <w:r>
        <w:rPr>
          <w:rFonts w:cs="Arial"/>
          <w:bCs/>
          <w:szCs w:val="20"/>
          <w:lang w:eastAsia="en-AU" w:bidi="ar-SA"/>
        </w:rPr>
        <w:t>a food.</w:t>
      </w:r>
      <w:r w:rsidRPr="00D87F20">
        <w:rPr>
          <w:rFonts w:cs="Arial"/>
          <w:bCs/>
          <w:szCs w:val="20"/>
          <w:lang w:eastAsia="en-AU" w:bidi="ar-SA"/>
        </w:rPr>
        <w:t xml:space="preserve"> </w:t>
      </w:r>
      <w:r>
        <w:rPr>
          <w:rFonts w:cs="Arial"/>
          <w:bCs/>
          <w:szCs w:val="20"/>
          <w:lang w:eastAsia="en-AU" w:bidi="ar-SA"/>
        </w:rPr>
        <w:t xml:space="preserve">For example, the </w:t>
      </w:r>
      <w:hyperlink r:id="rId24" w:history="1">
        <w:r w:rsidRPr="00DA1FDD">
          <w:rPr>
            <w:rStyle w:val="Hyperlink"/>
            <w:rFonts w:cs="Arial"/>
            <w:bCs/>
            <w:szCs w:val="20"/>
            <w:lang w:eastAsia="en-AU" w:bidi="ar-SA"/>
          </w:rPr>
          <w:t xml:space="preserve">Australian Food Composition </w:t>
        </w:r>
        <w:r w:rsidR="007D3FD5">
          <w:rPr>
            <w:rStyle w:val="Hyperlink"/>
            <w:rFonts w:cs="Arial"/>
            <w:bCs/>
            <w:szCs w:val="20"/>
            <w:lang w:eastAsia="en-AU" w:bidi="ar-SA"/>
          </w:rPr>
          <w:t>D</w:t>
        </w:r>
        <w:r w:rsidRPr="00DA1FDD">
          <w:rPr>
            <w:rStyle w:val="Hyperlink"/>
            <w:rFonts w:cs="Arial"/>
            <w:bCs/>
            <w:szCs w:val="20"/>
            <w:lang w:eastAsia="en-AU" w:bidi="ar-SA"/>
          </w:rPr>
          <w:t>atabase</w:t>
        </w:r>
      </w:hyperlink>
      <w:r>
        <w:rPr>
          <w:rFonts w:cs="Arial"/>
          <w:bCs/>
          <w:szCs w:val="20"/>
          <w:lang w:eastAsia="en-AU" w:bidi="ar-SA"/>
        </w:rPr>
        <w:t xml:space="preserve"> is a widely</w:t>
      </w:r>
      <w:r w:rsidR="007D3FD5">
        <w:rPr>
          <w:rFonts w:cs="Arial"/>
          <w:bCs/>
          <w:szCs w:val="20"/>
          <w:lang w:eastAsia="en-AU" w:bidi="ar-SA"/>
        </w:rPr>
        <w:t xml:space="preserve"> </w:t>
      </w:r>
      <w:r>
        <w:rPr>
          <w:rFonts w:cs="Arial"/>
          <w:bCs/>
          <w:szCs w:val="20"/>
          <w:lang w:eastAsia="en-AU" w:bidi="ar-SA"/>
        </w:rPr>
        <w:t xml:space="preserve">consulted source of dietary fibre values in Australia. These values are mostly obtained using </w:t>
      </w:r>
      <w:r w:rsidR="004568D6">
        <w:rPr>
          <w:rFonts w:cs="Arial"/>
          <w:bCs/>
          <w:szCs w:val="20"/>
          <w:lang w:eastAsia="en-AU" w:bidi="ar-SA"/>
        </w:rPr>
        <w:t xml:space="preserve">AOAC </w:t>
      </w:r>
      <w:r>
        <w:rPr>
          <w:rFonts w:cs="Arial"/>
          <w:bCs/>
          <w:szCs w:val="20"/>
          <w:lang w:eastAsia="en-AU" w:bidi="ar-SA"/>
        </w:rPr>
        <w:t>985.29 and</w:t>
      </w:r>
      <w:r w:rsidR="007D3FD5">
        <w:rPr>
          <w:rFonts w:cs="Arial"/>
          <w:bCs/>
          <w:szCs w:val="20"/>
          <w:lang w:eastAsia="en-AU" w:bidi="ar-SA"/>
        </w:rPr>
        <w:t xml:space="preserve"> therefore most do not account for</w:t>
      </w:r>
      <w:r>
        <w:rPr>
          <w:rFonts w:cs="Arial"/>
          <w:bCs/>
          <w:szCs w:val="20"/>
          <w:lang w:eastAsia="en-AU" w:bidi="ar-SA"/>
        </w:rPr>
        <w:t xml:space="preserve"> LMWDF fractions from the sample, </w:t>
      </w:r>
      <w:r w:rsidR="007D3FD5">
        <w:rPr>
          <w:rFonts w:cs="Arial"/>
          <w:bCs/>
          <w:szCs w:val="20"/>
          <w:lang w:eastAsia="en-AU" w:bidi="ar-SA"/>
        </w:rPr>
        <w:t>resulting in</w:t>
      </w:r>
      <w:r>
        <w:rPr>
          <w:rFonts w:cs="Arial"/>
          <w:bCs/>
          <w:szCs w:val="20"/>
          <w:lang w:eastAsia="en-AU" w:bidi="ar-SA"/>
        </w:rPr>
        <w:t xml:space="preserve"> values </w:t>
      </w:r>
      <w:r w:rsidR="007D3FD5">
        <w:rPr>
          <w:rFonts w:cs="Arial"/>
          <w:bCs/>
          <w:szCs w:val="20"/>
          <w:lang w:eastAsia="en-AU" w:bidi="ar-SA"/>
        </w:rPr>
        <w:t xml:space="preserve">which likely </w:t>
      </w:r>
      <w:r>
        <w:rPr>
          <w:rFonts w:cs="Arial"/>
          <w:bCs/>
          <w:szCs w:val="20"/>
          <w:lang w:eastAsia="en-AU" w:bidi="ar-SA"/>
        </w:rPr>
        <w:t>underestimate total dietary fibre values.</w:t>
      </w:r>
    </w:p>
    <w:p w14:paraId="310F6A70" w14:textId="63370817" w:rsidR="00FF1AF3" w:rsidRDefault="007D3FD5" w:rsidP="003648E6">
      <w:pPr>
        <w:spacing w:before="120" w:after="120"/>
        <w:rPr>
          <w:rFonts w:cs="Arial"/>
        </w:rPr>
      </w:pPr>
      <w:r>
        <w:rPr>
          <w:rFonts w:cs="Arial"/>
        </w:rPr>
        <w:t>Overall i</w:t>
      </w:r>
      <w:r w:rsidR="00FF1AF3">
        <w:rPr>
          <w:rFonts w:cs="Arial"/>
        </w:rPr>
        <w:t xml:space="preserve">t is clear </w:t>
      </w:r>
      <w:r w:rsidR="00126D5C">
        <w:rPr>
          <w:rFonts w:cs="Arial"/>
        </w:rPr>
        <w:t>that</w:t>
      </w:r>
      <w:r w:rsidR="00FF1AF3">
        <w:rPr>
          <w:rFonts w:cs="Arial"/>
        </w:rPr>
        <w:t xml:space="preserve"> limitations exist </w:t>
      </w:r>
      <w:r w:rsidR="006228CB">
        <w:rPr>
          <w:rFonts w:cs="Arial"/>
        </w:rPr>
        <w:t xml:space="preserve">with </w:t>
      </w:r>
      <w:r w:rsidR="00126D5C">
        <w:rPr>
          <w:rFonts w:cs="Arial"/>
        </w:rPr>
        <w:t xml:space="preserve">the practicality and comprehensiveness of </w:t>
      </w:r>
      <w:r w:rsidR="006228CB">
        <w:rPr>
          <w:rFonts w:cs="Arial"/>
        </w:rPr>
        <w:t>current permitted methods of analysis</w:t>
      </w:r>
      <w:r w:rsidR="00FF1AF3">
        <w:rPr>
          <w:rFonts w:cs="Arial"/>
        </w:rPr>
        <w:t xml:space="preserve"> </w:t>
      </w:r>
      <w:r w:rsidR="00126D5C">
        <w:rPr>
          <w:rFonts w:cs="Arial"/>
        </w:rPr>
        <w:t>for</w:t>
      </w:r>
      <w:r w:rsidR="00FF1AF3">
        <w:rPr>
          <w:rFonts w:cs="Arial"/>
        </w:rPr>
        <w:t xml:space="preserve"> total dietary fibre</w:t>
      </w:r>
      <w:r w:rsidR="006228CB">
        <w:rPr>
          <w:rFonts w:cs="Arial"/>
        </w:rPr>
        <w:t xml:space="preserve">. AOAC 2017.16 was designed to resolve many of these </w:t>
      </w:r>
      <w:r w:rsidR="00126D5C">
        <w:rPr>
          <w:rFonts w:cs="Arial"/>
        </w:rPr>
        <w:t>limitations</w:t>
      </w:r>
      <w:r w:rsidR="006228CB">
        <w:rPr>
          <w:rFonts w:cs="Arial"/>
        </w:rPr>
        <w:t>.</w:t>
      </w:r>
    </w:p>
    <w:p w14:paraId="36C48516" w14:textId="010F48A9" w:rsidR="006228CB" w:rsidRDefault="006228CB" w:rsidP="00D40130">
      <w:pPr>
        <w:pStyle w:val="Heading2"/>
        <w:numPr>
          <w:ilvl w:val="1"/>
          <w:numId w:val="23"/>
        </w:numPr>
      </w:pPr>
      <w:bookmarkStart w:id="95" w:name="_Toc86240835"/>
      <w:r>
        <w:t xml:space="preserve">Limitations and benefits </w:t>
      </w:r>
      <w:r w:rsidR="000A04F4">
        <w:t>of</w:t>
      </w:r>
      <w:r>
        <w:t xml:space="preserve"> AOAC 2017.16</w:t>
      </w:r>
      <w:bookmarkEnd w:id="95"/>
    </w:p>
    <w:p w14:paraId="66545DED" w14:textId="25A0CED8" w:rsidR="006960AF" w:rsidRDefault="005A55D2" w:rsidP="003648E6">
      <w:pPr>
        <w:spacing w:before="120" w:after="120"/>
        <w:rPr>
          <w:rFonts w:cs="Arial"/>
        </w:rPr>
      </w:pPr>
      <w:r>
        <w:rPr>
          <w:rFonts w:cs="Arial"/>
        </w:rPr>
        <w:t>T</w:t>
      </w:r>
      <w:r w:rsidR="001702EA">
        <w:rPr>
          <w:rFonts w:cs="Arial"/>
        </w:rPr>
        <w:t xml:space="preserve">he technical aspects of </w:t>
      </w:r>
      <w:r w:rsidR="004568D6">
        <w:rPr>
          <w:rFonts w:cs="Arial"/>
        </w:rPr>
        <w:t>AOAC 2017.16</w:t>
      </w:r>
      <w:r>
        <w:rPr>
          <w:rFonts w:cs="Arial"/>
        </w:rPr>
        <w:t xml:space="preserve"> outlined in the assessment at SD1 demonstrate </w:t>
      </w:r>
      <w:r w:rsidR="001702EA">
        <w:rPr>
          <w:rFonts w:cs="Arial"/>
        </w:rPr>
        <w:t>extensive</w:t>
      </w:r>
      <w:r>
        <w:rPr>
          <w:rFonts w:cs="Arial"/>
        </w:rPr>
        <w:t xml:space="preserve"> benefits regarding the </w:t>
      </w:r>
      <w:r w:rsidR="0038130A">
        <w:rPr>
          <w:rFonts w:cs="Arial"/>
        </w:rPr>
        <w:t>comprehensiveness</w:t>
      </w:r>
      <w:r>
        <w:rPr>
          <w:rFonts w:cs="Arial"/>
        </w:rPr>
        <w:t xml:space="preserve"> of the method, compared to current permitted methods. </w:t>
      </w:r>
    </w:p>
    <w:p w14:paraId="5E113DE6" w14:textId="5BC9D054" w:rsidR="001702EA" w:rsidRDefault="006960AF" w:rsidP="0063348A">
      <w:pPr>
        <w:spacing w:before="120" w:after="120"/>
        <w:rPr>
          <w:rFonts w:cs="Arial"/>
        </w:rPr>
      </w:pPr>
      <w:r>
        <w:rPr>
          <w:rFonts w:cs="Arial"/>
        </w:rPr>
        <w:t>However, methods of analysis have ev</w:t>
      </w:r>
      <w:r w:rsidR="00716C11">
        <w:rPr>
          <w:rFonts w:cs="Arial"/>
        </w:rPr>
        <w:t xml:space="preserve">olved significantly along with </w:t>
      </w:r>
      <w:r>
        <w:rPr>
          <w:rFonts w:cs="Arial"/>
        </w:rPr>
        <w:t>consideration of what is</w:t>
      </w:r>
      <w:r w:rsidR="00716C11">
        <w:rPr>
          <w:rFonts w:cs="Arial"/>
        </w:rPr>
        <w:t xml:space="preserve"> captured as</w:t>
      </w:r>
      <w:r>
        <w:rPr>
          <w:rFonts w:cs="Arial"/>
        </w:rPr>
        <w:t xml:space="preserve"> a dietary fibre. This required FSANZ to undertake further assessment and have regard for the Code’s definition of dietary fibre in its </w:t>
      </w:r>
      <w:r w:rsidR="004568D6">
        <w:rPr>
          <w:rFonts w:cs="Arial"/>
        </w:rPr>
        <w:t>risk management consideration</w:t>
      </w:r>
      <w:r>
        <w:rPr>
          <w:rFonts w:cs="Arial"/>
        </w:rPr>
        <w:t>s</w:t>
      </w:r>
      <w:r w:rsidR="004568D6">
        <w:rPr>
          <w:rFonts w:cs="Arial"/>
        </w:rPr>
        <w:t>.</w:t>
      </w:r>
    </w:p>
    <w:p w14:paraId="7C7B6837" w14:textId="4FC3B04A" w:rsidR="00C30C1F" w:rsidRPr="001B50A0" w:rsidRDefault="00C30C1F" w:rsidP="00D40130">
      <w:pPr>
        <w:pStyle w:val="Heading3"/>
        <w:numPr>
          <w:ilvl w:val="2"/>
          <w:numId w:val="23"/>
        </w:numPr>
      </w:pPr>
      <w:bookmarkStart w:id="96" w:name="_Toc86240836"/>
      <w:r w:rsidRPr="001B50A0">
        <w:t xml:space="preserve">Regulation of dietary fibre differs </w:t>
      </w:r>
      <w:r w:rsidR="000A04F4" w:rsidRPr="001B50A0">
        <w:t>between countries comparable to Australia and New Zealand</w:t>
      </w:r>
      <w:bookmarkEnd w:id="96"/>
    </w:p>
    <w:p w14:paraId="5B95C37A" w14:textId="3CE602C9" w:rsidR="00F67210" w:rsidRDefault="00126D5C" w:rsidP="003648E6">
      <w:pPr>
        <w:spacing w:before="120" w:after="120"/>
        <w:rPr>
          <w:rFonts w:cs="Arial"/>
        </w:rPr>
      </w:pPr>
      <w:r>
        <w:rPr>
          <w:rFonts w:cs="Arial"/>
        </w:rPr>
        <w:t xml:space="preserve">AOAC 2017.16 </w:t>
      </w:r>
      <w:r w:rsidR="00CB4F1F">
        <w:rPr>
          <w:rFonts w:cs="Arial"/>
        </w:rPr>
        <w:t>was</w:t>
      </w:r>
      <w:r>
        <w:rPr>
          <w:rFonts w:cs="Arial"/>
        </w:rPr>
        <w:t xml:space="preserve"> developed to align with the Codex definition of dietary fibre. </w:t>
      </w:r>
      <w:r w:rsidR="001702EA" w:rsidRPr="00C4701E">
        <w:rPr>
          <w:rFonts w:cs="Arial"/>
        </w:rPr>
        <w:t>Dietary fibre definitions differ betw</w:t>
      </w:r>
      <w:r w:rsidR="00CB4F1F">
        <w:rPr>
          <w:rFonts w:cs="Arial"/>
        </w:rPr>
        <w:t>een countries, particularly for</w:t>
      </w:r>
      <w:r w:rsidR="001702EA" w:rsidRPr="00C4701E">
        <w:rPr>
          <w:rFonts w:cs="Arial"/>
        </w:rPr>
        <w:t xml:space="preserve"> beneficial physiological effects. </w:t>
      </w:r>
      <w:r w:rsidR="00CB4F1F">
        <w:rPr>
          <w:rFonts w:cs="Arial"/>
        </w:rPr>
        <w:t xml:space="preserve">As discussed above in section 1.4.1, </w:t>
      </w:r>
      <w:r w:rsidR="001702EA" w:rsidRPr="00C4701E">
        <w:rPr>
          <w:rFonts w:cs="Arial"/>
        </w:rPr>
        <w:t xml:space="preserve">Codex leaves this criteria up to </w:t>
      </w:r>
      <w:r w:rsidR="00FE3105">
        <w:rPr>
          <w:rFonts w:cs="Arial"/>
        </w:rPr>
        <w:t xml:space="preserve">national </w:t>
      </w:r>
      <w:r w:rsidR="001702EA" w:rsidRPr="00C4701E">
        <w:rPr>
          <w:rFonts w:cs="Arial"/>
        </w:rPr>
        <w:t xml:space="preserve">regulatory bodies to determine based on generally accepted scientific evidence. The Code’s definition of dietary fibre is limited </w:t>
      </w:r>
      <w:r w:rsidR="00CB4F1F">
        <w:rPr>
          <w:rFonts w:cs="Arial"/>
        </w:rPr>
        <w:t>to three listed</w:t>
      </w:r>
      <w:r w:rsidR="001702EA" w:rsidRPr="00C4701E">
        <w:rPr>
          <w:rFonts w:cs="Arial"/>
        </w:rPr>
        <w:t xml:space="preserve"> </w:t>
      </w:r>
      <w:r w:rsidR="001702EA">
        <w:rPr>
          <w:rFonts w:cs="Arial"/>
        </w:rPr>
        <w:t>beneficial physiological</w:t>
      </w:r>
      <w:r w:rsidR="001702EA" w:rsidRPr="00C4701E">
        <w:rPr>
          <w:rFonts w:cs="Arial"/>
        </w:rPr>
        <w:t xml:space="preserve"> effects compared</w:t>
      </w:r>
      <w:r w:rsidR="00FE3105">
        <w:rPr>
          <w:rFonts w:cs="Arial"/>
        </w:rPr>
        <w:t xml:space="preserve"> to</w:t>
      </w:r>
      <w:r w:rsidR="001702EA" w:rsidRPr="00C4701E">
        <w:rPr>
          <w:rFonts w:cs="Arial"/>
        </w:rPr>
        <w:t xml:space="preserve"> </w:t>
      </w:r>
      <w:r w:rsidR="004568D6">
        <w:rPr>
          <w:rFonts w:cs="Arial"/>
        </w:rPr>
        <w:t xml:space="preserve">countries </w:t>
      </w:r>
      <w:r w:rsidR="00CB4F1F">
        <w:rPr>
          <w:rFonts w:cs="Arial"/>
        </w:rPr>
        <w:t xml:space="preserve">equivalent </w:t>
      </w:r>
      <w:r w:rsidR="004568D6">
        <w:rPr>
          <w:rFonts w:cs="Arial"/>
        </w:rPr>
        <w:t xml:space="preserve">to Australia and New Zealand such as </w:t>
      </w:r>
      <w:r w:rsidR="001702EA" w:rsidRPr="00C4701E">
        <w:rPr>
          <w:rFonts w:cs="Arial"/>
        </w:rPr>
        <w:t>the</w:t>
      </w:r>
      <w:r w:rsidR="00FE3105">
        <w:rPr>
          <w:rFonts w:cs="Arial"/>
        </w:rPr>
        <w:t xml:space="preserve"> US</w:t>
      </w:r>
      <w:r w:rsidR="001702EA" w:rsidRPr="00C4701E">
        <w:rPr>
          <w:rFonts w:cs="Arial"/>
        </w:rPr>
        <w:t xml:space="preserve">, Canada and </w:t>
      </w:r>
      <w:r w:rsidR="00FE3105">
        <w:rPr>
          <w:rFonts w:cs="Arial"/>
        </w:rPr>
        <w:t>countries in the EU.</w:t>
      </w:r>
    </w:p>
    <w:p w14:paraId="796BBEDC" w14:textId="4321843B" w:rsidR="00874A6B" w:rsidRDefault="00126D5C" w:rsidP="003648E6">
      <w:pPr>
        <w:spacing w:before="120" w:after="120"/>
        <w:rPr>
          <w:rFonts w:cs="Arial"/>
        </w:rPr>
      </w:pPr>
      <w:r>
        <w:rPr>
          <w:rFonts w:cs="Arial"/>
        </w:rPr>
        <w:t>T</w:t>
      </w:r>
      <w:r w:rsidR="000C255B">
        <w:rPr>
          <w:rFonts w:cs="Arial"/>
        </w:rPr>
        <w:t xml:space="preserve">he Code </w:t>
      </w:r>
      <w:r>
        <w:rPr>
          <w:rFonts w:cs="Arial"/>
        </w:rPr>
        <w:t xml:space="preserve">regulates </w:t>
      </w:r>
      <w:r w:rsidR="000C255B">
        <w:rPr>
          <w:rFonts w:cs="Arial"/>
        </w:rPr>
        <w:t>dietary fibre</w:t>
      </w:r>
      <w:r>
        <w:rPr>
          <w:rFonts w:cs="Arial"/>
        </w:rPr>
        <w:t xml:space="preserve"> in two ways, through permitted methods of analysis and through the </w:t>
      </w:r>
      <w:r w:rsidR="000C255B">
        <w:rPr>
          <w:rFonts w:cs="Arial"/>
        </w:rPr>
        <w:t>definition</w:t>
      </w:r>
      <w:r>
        <w:rPr>
          <w:rFonts w:cs="Arial"/>
        </w:rPr>
        <w:t xml:space="preserve"> </w:t>
      </w:r>
      <w:r w:rsidR="00114098">
        <w:rPr>
          <w:rFonts w:cs="Arial"/>
        </w:rPr>
        <w:t>(see</w:t>
      </w:r>
      <w:r>
        <w:rPr>
          <w:rFonts w:cs="Arial"/>
        </w:rPr>
        <w:t xml:space="preserve"> </w:t>
      </w:r>
      <w:r w:rsidR="00FE3105">
        <w:rPr>
          <w:rFonts w:cs="Arial"/>
        </w:rPr>
        <w:t>s</w:t>
      </w:r>
      <w:r w:rsidR="00B7437E">
        <w:rPr>
          <w:rFonts w:cs="Arial"/>
        </w:rPr>
        <w:t>ubsection 1.4.1</w:t>
      </w:r>
      <w:r w:rsidR="00114098">
        <w:rPr>
          <w:rFonts w:cs="Arial"/>
        </w:rPr>
        <w:t>)</w:t>
      </w:r>
      <w:r w:rsidR="00AC3919">
        <w:rPr>
          <w:rFonts w:cs="Arial"/>
        </w:rPr>
        <w:t>.</w:t>
      </w:r>
      <w:r w:rsidR="000C255B">
        <w:rPr>
          <w:rFonts w:cs="Arial"/>
        </w:rPr>
        <w:t xml:space="preserve"> </w:t>
      </w:r>
      <w:r w:rsidR="00AC3919">
        <w:rPr>
          <w:rFonts w:cs="Arial"/>
        </w:rPr>
        <w:t>FSANZ</w:t>
      </w:r>
      <w:r w:rsidR="00DA5C57">
        <w:rPr>
          <w:rFonts w:cs="Arial"/>
        </w:rPr>
        <w:t xml:space="preserve"> </w:t>
      </w:r>
      <w:r w:rsidR="003C6F22">
        <w:rPr>
          <w:rFonts w:cs="Arial"/>
        </w:rPr>
        <w:t>was</w:t>
      </w:r>
      <w:r w:rsidR="00DA5C57">
        <w:rPr>
          <w:rFonts w:cs="Arial"/>
        </w:rPr>
        <w:t xml:space="preserve"> therefore required to</w:t>
      </w:r>
      <w:r w:rsidR="00AC3919">
        <w:rPr>
          <w:rFonts w:cs="Arial"/>
        </w:rPr>
        <w:t xml:space="preserve"> </w:t>
      </w:r>
      <w:r w:rsidR="00DA5C57">
        <w:rPr>
          <w:rFonts w:cs="Arial"/>
        </w:rPr>
        <w:t xml:space="preserve">assess </w:t>
      </w:r>
      <w:r w:rsidR="00FE3105">
        <w:rPr>
          <w:rFonts w:cs="Arial"/>
        </w:rPr>
        <w:t xml:space="preserve">both the </w:t>
      </w:r>
      <w:r w:rsidR="00DA5C57">
        <w:rPr>
          <w:rFonts w:cs="Arial"/>
        </w:rPr>
        <w:t>technical aspects of the method of analysis and</w:t>
      </w:r>
      <w:r w:rsidR="00FE3105">
        <w:rPr>
          <w:rFonts w:cs="Arial"/>
        </w:rPr>
        <w:t xml:space="preserve"> the</w:t>
      </w:r>
      <w:r w:rsidR="001702EA">
        <w:rPr>
          <w:rFonts w:cs="Arial"/>
        </w:rPr>
        <w:t xml:space="preserve"> dietary fi</w:t>
      </w:r>
      <w:r w:rsidR="004568D6">
        <w:rPr>
          <w:rFonts w:cs="Arial"/>
        </w:rPr>
        <w:t>bre components</w:t>
      </w:r>
      <w:r w:rsidR="001702EA">
        <w:rPr>
          <w:rFonts w:cs="Arial"/>
        </w:rPr>
        <w:t xml:space="preserve"> </w:t>
      </w:r>
      <w:r w:rsidR="00DA5C57">
        <w:rPr>
          <w:rFonts w:cs="Arial"/>
        </w:rPr>
        <w:t xml:space="preserve">measured </w:t>
      </w:r>
      <w:r w:rsidR="00AC3919">
        <w:rPr>
          <w:rFonts w:cs="Arial"/>
        </w:rPr>
        <w:t>against the</w:t>
      </w:r>
      <w:r w:rsidR="00FE3105">
        <w:rPr>
          <w:rFonts w:cs="Arial"/>
        </w:rPr>
        <w:t xml:space="preserve"> Code’s</w:t>
      </w:r>
      <w:r w:rsidR="00AC3919">
        <w:rPr>
          <w:rFonts w:cs="Arial"/>
        </w:rPr>
        <w:t xml:space="preserve"> dietary fibre</w:t>
      </w:r>
      <w:r w:rsidR="001702EA">
        <w:rPr>
          <w:rFonts w:cs="Arial"/>
        </w:rPr>
        <w:t xml:space="preserve"> definition</w:t>
      </w:r>
      <w:r w:rsidR="004568D6">
        <w:rPr>
          <w:rFonts w:cs="Arial"/>
        </w:rPr>
        <w:t>.</w:t>
      </w:r>
    </w:p>
    <w:p w14:paraId="79B5C418" w14:textId="10DC4305" w:rsidR="00874A6B" w:rsidRDefault="001702EA" w:rsidP="003648E6">
      <w:pPr>
        <w:spacing w:before="120" w:after="120"/>
        <w:rPr>
          <w:rFonts w:cs="Arial"/>
        </w:rPr>
      </w:pPr>
      <w:r>
        <w:rPr>
          <w:rFonts w:cs="Arial"/>
        </w:rPr>
        <w:t>For application A1178, t</w:t>
      </w:r>
      <w:r w:rsidR="00AC3919">
        <w:rPr>
          <w:rFonts w:cs="Arial"/>
        </w:rPr>
        <w:t xml:space="preserve">his </w:t>
      </w:r>
      <w:r w:rsidR="004568D6">
        <w:rPr>
          <w:rFonts w:cs="Arial"/>
        </w:rPr>
        <w:t>assessment</w:t>
      </w:r>
      <w:r>
        <w:rPr>
          <w:rFonts w:cs="Arial"/>
        </w:rPr>
        <w:t xml:space="preserve"> </w:t>
      </w:r>
      <w:r w:rsidR="00AC3919">
        <w:rPr>
          <w:rFonts w:cs="Arial"/>
        </w:rPr>
        <w:t xml:space="preserve">was undertaken for GOS </w:t>
      </w:r>
      <w:r w:rsidR="006D0EA1">
        <w:rPr>
          <w:rFonts w:cs="Arial"/>
        </w:rPr>
        <w:t xml:space="preserve">only </w:t>
      </w:r>
      <w:r w:rsidR="00AC3919">
        <w:rPr>
          <w:rFonts w:cs="Arial"/>
        </w:rPr>
        <w:t>because</w:t>
      </w:r>
      <w:r>
        <w:rPr>
          <w:rFonts w:cs="Arial"/>
        </w:rPr>
        <w:t xml:space="preserve"> </w:t>
      </w:r>
      <w:r w:rsidR="00DA5C57">
        <w:rPr>
          <w:rFonts w:cs="Arial"/>
        </w:rPr>
        <w:t xml:space="preserve">other </w:t>
      </w:r>
      <w:r w:rsidR="004568D6">
        <w:rPr>
          <w:rFonts w:cs="Arial"/>
        </w:rPr>
        <w:t>dietary fibre components</w:t>
      </w:r>
      <w:r w:rsidR="00874A6B">
        <w:rPr>
          <w:rFonts w:cs="Arial"/>
        </w:rPr>
        <w:t xml:space="preserve"> measured by AOAC 2017.16, as defined in the</w:t>
      </w:r>
      <w:r>
        <w:rPr>
          <w:rFonts w:cs="Arial"/>
        </w:rPr>
        <w:t xml:space="preserve"> applica</w:t>
      </w:r>
      <w:r w:rsidR="00874A6B">
        <w:rPr>
          <w:rFonts w:cs="Arial"/>
        </w:rPr>
        <w:t xml:space="preserve">tion, had all </w:t>
      </w:r>
      <w:r w:rsidR="00FE3105">
        <w:rPr>
          <w:rFonts w:cs="Arial"/>
        </w:rPr>
        <w:t xml:space="preserve">previously </w:t>
      </w:r>
      <w:r w:rsidR="00874A6B">
        <w:rPr>
          <w:rFonts w:cs="Arial"/>
        </w:rPr>
        <w:t>been</w:t>
      </w:r>
      <w:r>
        <w:rPr>
          <w:rFonts w:cs="Arial"/>
        </w:rPr>
        <w:t xml:space="preserve"> </w:t>
      </w:r>
      <w:r w:rsidR="00AC3919">
        <w:rPr>
          <w:rFonts w:cs="Arial"/>
        </w:rPr>
        <w:t>assessed</w:t>
      </w:r>
      <w:r w:rsidR="00874A6B">
        <w:rPr>
          <w:rFonts w:cs="Arial"/>
        </w:rPr>
        <w:t xml:space="preserve"> by FSANZ</w:t>
      </w:r>
      <w:r w:rsidR="00AC3919">
        <w:rPr>
          <w:rFonts w:cs="Arial"/>
        </w:rPr>
        <w:t xml:space="preserve">. Through the assessment, FSANZ </w:t>
      </w:r>
      <w:r w:rsidR="00FE3105">
        <w:rPr>
          <w:rFonts w:cs="Arial"/>
        </w:rPr>
        <w:t xml:space="preserve">further </w:t>
      </w:r>
      <w:r w:rsidR="00DA5C57">
        <w:rPr>
          <w:rFonts w:cs="Arial"/>
        </w:rPr>
        <w:t>identified</w:t>
      </w:r>
      <w:r w:rsidR="00AC3919">
        <w:rPr>
          <w:rFonts w:cs="Arial"/>
        </w:rPr>
        <w:t xml:space="preserve"> </w:t>
      </w:r>
      <w:r w:rsidR="00FE3105">
        <w:rPr>
          <w:rFonts w:cs="Arial"/>
        </w:rPr>
        <w:t>i</w:t>
      </w:r>
      <w:r w:rsidR="00AC3919">
        <w:rPr>
          <w:rFonts w:cs="Arial"/>
        </w:rPr>
        <w:t xml:space="preserve">somalto-oligosaccharides </w:t>
      </w:r>
      <w:r>
        <w:rPr>
          <w:rFonts w:cs="Arial"/>
        </w:rPr>
        <w:t xml:space="preserve">(IMO) </w:t>
      </w:r>
      <w:r w:rsidR="00DA5C57">
        <w:rPr>
          <w:rFonts w:cs="Arial"/>
        </w:rPr>
        <w:t>as an additional component</w:t>
      </w:r>
      <w:r w:rsidR="00AC3919">
        <w:rPr>
          <w:rFonts w:cs="Arial"/>
        </w:rPr>
        <w:t xml:space="preserve"> </w:t>
      </w:r>
      <w:r>
        <w:rPr>
          <w:rFonts w:cs="Arial"/>
        </w:rPr>
        <w:t>measured</w:t>
      </w:r>
      <w:r w:rsidR="00AC3919">
        <w:rPr>
          <w:rFonts w:cs="Arial"/>
        </w:rPr>
        <w:t xml:space="preserve"> by the method</w:t>
      </w:r>
      <w:r w:rsidR="00FE3105">
        <w:rPr>
          <w:rFonts w:cs="Arial"/>
        </w:rPr>
        <w:t xml:space="preserve"> which was yet to be considered by FSANZ</w:t>
      </w:r>
      <w:r w:rsidR="00DA5C57">
        <w:rPr>
          <w:rFonts w:cs="Arial"/>
        </w:rPr>
        <w:t xml:space="preserve">. After reviewing levels in the food supply and </w:t>
      </w:r>
      <w:r w:rsidR="00FE3105">
        <w:rPr>
          <w:rFonts w:cs="Arial"/>
        </w:rPr>
        <w:t xml:space="preserve">the </w:t>
      </w:r>
      <w:r w:rsidR="00DA5C57">
        <w:rPr>
          <w:rFonts w:cs="Arial"/>
        </w:rPr>
        <w:t xml:space="preserve">intended purpose </w:t>
      </w:r>
      <w:r w:rsidR="00FE3105">
        <w:rPr>
          <w:rFonts w:cs="Arial"/>
        </w:rPr>
        <w:t xml:space="preserve">of IMO </w:t>
      </w:r>
      <w:r w:rsidR="00DA5C57">
        <w:rPr>
          <w:rFonts w:cs="Arial"/>
        </w:rPr>
        <w:t xml:space="preserve">under application </w:t>
      </w:r>
      <w:hyperlink r:id="rId25" w:history="1">
        <w:r w:rsidR="00DA5C57" w:rsidRPr="00DA5C57">
          <w:rPr>
            <w:rStyle w:val="Hyperlink"/>
            <w:szCs w:val="22"/>
          </w:rPr>
          <w:t>A1123 – Isomalto-oligosaccharide as a Novel Food</w:t>
        </w:r>
      </w:hyperlink>
      <w:r w:rsidR="00DA5C57">
        <w:rPr>
          <w:rFonts w:cs="Arial"/>
        </w:rPr>
        <w:t>, FSANZ</w:t>
      </w:r>
      <w:r w:rsidR="00BD60A8">
        <w:rPr>
          <w:rFonts w:cs="Arial"/>
        </w:rPr>
        <w:t xml:space="preserve"> </w:t>
      </w:r>
      <w:r w:rsidR="00FE3105">
        <w:rPr>
          <w:rFonts w:cs="Arial"/>
        </w:rPr>
        <w:t>determined</w:t>
      </w:r>
      <w:r w:rsidR="00DA5C57">
        <w:rPr>
          <w:rFonts w:cs="Arial"/>
        </w:rPr>
        <w:t xml:space="preserve"> additional assessment </w:t>
      </w:r>
      <w:r w:rsidR="00FE3105">
        <w:rPr>
          <w:rFonts w:cs="Arial"/>
        </w:rPr>
        <w:t xml:space="preserve">was not required </w:t>
      </w:r>
      <w:r w:rsidR="00DA5C57">
        <w:rPr>
          <w:rFonts w:cs="Arial"/>
        </w:rPr>
        <w:t>and</w:t>
      </w:r>
      <w:r w:rsidR="00F27C3F">
        <w:rPr>
          <w:rFonts w:cs="Arial"/>
        </w:rPr>
        <w:t xml:space="preserve"> IMO could be </w:t>
      </w:r>
      <w:r>
        <w:rPr>
          <w:rFonts w:cs="Arial"/>
        </w:rPr>
        <w:t>manage</w:t>
      </w:r>
      <w:r w:rsidR="00F27C3F">
        <w:rPr>
          <w:rFonts w:cs="Arial"/>
        </w:rPr>
        <w:t xml:space="preserve">d </w:t>
      </w:r>
      <w:r w:rsidR="00BD60A8">
        <w:rPr>
          <w:rFonts w:cs="Arial"/>
        </w:rPr>
        <w:t xml:space="preserve">in the same way as GOS (see </w:t>
      </w:r>
      <w:r w:rsidR="005C7B26">
        <w:rPr>
          <w:rFonts w:cs="Arial"/>
        </w:rPr>
        <w:t>section 3.2.2</w:t>
      </w:r>
      <w:r w:rsidR="00CB4F1F">
        <w:rPr>
          <w:rFonts w:cs="Arial"/>
        </w:rPr>
        <w:t xml:space="preserve"> below</w:t>
      </w:r>
      <w:r w:rsidR="00BD60A8">
        <w:rPr>
          <w:rFonts w:cs="Arial"/>
        </w:rPr>
        <w:t>).</w:t>
      </w:r>
    </w:p>
    <w:p w14:paraId="5FC881C6" w14:textId="062F47D4" w:rsidR="005C7B26" w:rsidRPr="00C30C1F" w:rsidRDefault="005C7B26" w:rsidP="00D40130">
      <w:pPr>
        <w:pStyle w:val="Heading3"/>
        <w:numPr>
          <w:ilvl w:val="2"/>
          <w:numId w:val="23"/>
        </w:numPr>
      </w:pPr>
      <w:bookmarkStart w:id="97" w:name="_Toc86240837"/>
      <w:r>
        <w:t xml:space="preserve">Consideration of </w:t>
      </w:r>
      <w:r w:rsidR="00184407">
        <w:t>i</w:t>
      </w:r>
      <w:r w:rsidRPr="00701872">
        <w:t>somalto-oligosaccharides</w:t>
      </w:r>
      <w:bookmarkEnd w:id="97"/>
    </w:p>
    <w:p w14:paraId="3C889E0A" w14:textId="77777777" w:rsidR="005C7B26" w:rsidRDefault="005C7B26" w:rsidP="005C7B26">
      <w:pPr>
        <w:spacing w:before="120" w:after="120"/>
        <w:rPr>
          <w:lang w:bidi="ar-SA"/>
        </w:rPr>
      </w:pPr>
      <w:r>
        <w:rPr>
          <w:lang w:bidi="ar-SA"/>
        </w:rPr>
        <w:t>During the assessment for this application, FSANZ noted IMO were identified as non-digestible oligosaccharides measured as dietary fibre by AOAC 2017.16 (Codex 2021), AOAC 2001.03 (based on scientific literature) and AOAC 985.29 and 991.43 (</w:t>
      </w:r>
      <w:r w:rsidRPr="007B66F4">
        <w:rPr>
          <w:rFonts w:cs="Arial"/>
          <w:szCs w:val="22"/>
        </w:rPr>
        <w:t xml:space="preserve">McCleary and </w:t>
      </w:r>
      <w:r w:rsidRPr="007B66F4">
        <w:rPr>
          <w:rFonts w:cs="Arial"/>
          <w:szCs w:val="22"/>
        </w:rPr>
        <w:lastRenderedPageBreak/>
        <w:t>Cox 2017</w:t>
      </w:r>
      <w:r>
        <w:rPr>
          <w:rFonts w:cs="Arial"/>
          <w:szCs w:val="22"/>
        </w:rPr>
        <w:t>)</w:t>
      </w:r>
      <w:r>
        <w:rPr>
          <w:lang w:bidi="ar-SA"/>
        </w:rPr>
        <w:t xml:space="preserve">. </w:t>
      </w:r>
    </w:p>
    <w:p w14:paraId="6023BD4C" w14:textId="77777777" w:rsidR="005C7B26" w:rsidRDefault="005C7B26" w:rsidP="005C7B26">
      <w:pPr>
        <w:spacing w:before="120" w:after="120"/>
        <w:rPr>
          <w:lang w:bidi="ar-SA"/>
        </w:rPr>
      </w:pPr>
      <w:r>
        <w:rPr>
          <w:lang w:bidi="ar-SA"/>
        </w:rPr>
        <w:t>FSANZ sought to quantify levels of IMO in the Australian and New Zealand food supply. Based on limited data, FSANZ identified that naturally occurring IMO with a degree of polymerisation (DP)</w:t>
      </w:r>
      <w:r>
        <w:rPr>
          <w:rStyle w:val="FootnoteReference"/>
          <w:lang w:bidi="ar-SA"/>
        </w:rPr>
        <w:footnoteReference w:id="13"/>
      </w:r>
      <w:r>
        <w:rPr>
          <w:lang w:bidi="ar-SA"/>
        </w:rPr>
        <w:t xml:space="preserve"> 3–9 is found in fermented foods such as sourdough bread, kimchi, </w:t>
      </w:r>
      <w:r w:rsidRPr="007D7192">
        <w:rPr>
          <w:lang w:bidi="ar-SA"/>
        </w:rPr>
        <w:t>miso, sake, and soy sauce</w:t>
      </w:r>
      <w:r>
        <w:rPr>
          <w:lang w:bidi="ar-SA"/>
        </w:rPr>
        <w:t>. FSANZ identified one reported value for naturally occurring levels of IMO in sake (Japanese alcoholic drink), which contained IMO with a DP 3 or more at levels of 0.112–0.234 g/100 g (</w:t>
      </w:r>
      <w:r w:rsidRPr="00CC7D68">
        <w:rPr>
          <w:rFonts w:cs="Arial"/>
          <w:szCs w:val="22"/>
        </w:rPr>
        <w:t>Hayakawa</w:t>
      </w:r>
      <w:r>
        <w:rPr>
          <w:rFonts w:cs="Arial"/>
          <w:szCs w:val="22"/>
        </w:rPr>
        <w:t xml:space="preserve"> et al. 2000)</w:t>
      </w:r>
      <w:r>
        <w:rPr>
          <w:lang w:bidi="ar-SA"/>
        </w:rPr>
        <w:t xml:space="preserve">. </w:t>
      </w:r>
    </w:p>
    <w:p w14:paraId="5621FA61" w14:textId="4A43C889" w:rsidR="005C7B26" w:rsidRDefault="005C7B26" w:rsidP="005C7B26">
      <w:pPr>
        <w:spacing w:before="120" w:after="120"/>
        <w:rPr>
          <w:lang w:eastAsia="en-AU" w:bidi="ar-SA"/>
        </w:rPr>
      </w:pPr>
      <w:r>
        <w:rPr>
          <w:lang w:bidi="ar-SA"/>
        </w:rPr>
        <w:t>IMO can also be synthetically produced through the enzymatic hydrolysis of starch. It is currently permitted by FSANZ as a Novel Food in the Code</w:t>
      </w:r>
      <w:r>
        <w:rPr>
          <w:rStyle w:val="FootnoteReference"/>
          <w:lang w:bidi="ar-SA"/>
        </w:rPr>
        <w:footnoteReference w:id="14"/>
      </w:r>
      <w:r>
        <w:rPr>
          <w:lang w:bidi="ar-SA"/>
        </w:rPr>
        <w:t xml:space="preserve"> for use as an </w:t>
      </w:r>
      <w:r>
        <w:t xml:space="preserve">alternative (lower energy) sweetener and bulk filler in a range of foods such as </w:t>
      </w:r>
      <w:r w:rsidRPr="00B4558F">
        <w:rPr>
          <w:lang w:eastAsia="en-AU" w:bidi="ar-SA"/>
        </w:rPr>
        <w:t>carbonated beverages, sports and energy drinks, soy drinks, milk-based drinks, milk-based and non-milk-based meal replacement drinks, fruit juices, fruit-flavoured drinks, meal replacement bars, breakfast bars and confection</w:t>
      </w:r>
      <w:r>
        <w:rPr>
          <w:lang w:eastAsia="en-AU" w:bidi="ar-SA"/>
        </w:rPr>
        <w:t>e</w:t>
      </w:r>
      <w:r w:rsidRPr="00B4558F">
        <w:rPr>
          <w:lang w:eastAsia="en-AU" w:bidi="ar-SA"/>
        </w:rPr>
        <w:t>ry</w:t>
      </w:r>
      <w:r>
        <w:rPr>
          <w:lang w:eastAsia="en-AU" w:bidi="ar-SA"/>
        </w:rPr>
        <w:t>.</w:t>
      </w:r>
      <w:r w:rsidRPr="00AC0E36">
        <w:rPr>
          <w:lang w:eastAsia="en-AU" w:bidi="ar-SA"/>
        </w:rPr>
        <w:t xml:space="preserve"> </w:t>
      </w:r>
      <w:r w:rsidR="00552010">
        <w:rPr>
          <w:lang w:eastAsia="en-AU" w:bidi="ar-SA"/>
        </w:rPr>
        <w:t>T</w:t>
      </w:r>
      <w:r>
        <w:rPr>
          <w:lang w:eastAsia="en-AU" w:bidi="ar-SA"/>
        </w:rPr>
        <w:t>he specifications for IMO state that a</w:t>
      </w:r>
      <w:r w:rsidRPr="00AC0E36">
        <w:rPr>
          <w:lang w:eastAsia="en-AU" w:bidi="ar-SA"/>
        </w:rPr>
        <w:t xml:space="preserve"> maximum of 43% (range 20–43%) of the IMO preparation would be DP</w:t>
      </w:r>
      <w:r>
        <w:rPr>
          <w:lang w:eastAsia="en-AU" w:bidi="ar-SA"/>
        </w:rPr>
        <w:t xml:space="preserve"> </w:t>
      </w:r>
      <w:r w:rsidRPr="00AC0E36">
        <w:rPr>
          <w:lang w:eastAsia="en-AU" w:bidi="ar-SA"/>
        </w:rPr>
        <w:t>1 and DP</w:t>
      </w:r>
      <w:r>
        <w:rPr>
          <w:lang w:eastAsia="en-AU" w:bidi="ar-SA"/>
        </w:rPr>
        <w:t xml:space="preserve"> </w:t>
      </w:r>
      <w:r w:rsidRPr="00AC0E36">
        <w:rPr>
          <w:lang w:eastAsia="en-AU" w:bidi="ar-SA"/>
        </w:rPr>
        <w:t>2</w:t>
      </w:r>
      <w:r w:rsidR="00552010">
        <w:rPr>
          <w:lang w:eastAsia="en-AU" w:bidi="ar-SA"/>
        </w:rPr>
        <w:t xml:space="preserve">, </w:t>
      </w:r>
      <w:r w:rsidR="00552010" w:rsidRPr="00AC0E36">
        <w:rPr>
          <w:lang w:eastAsia="en-AU" w:bidi="ar-SA"/>
        </w:rPr>
        <w:t xml:space="preserve">hence </w:t>
      </w:r>
      <w:r w:rsidR="00552010">
        <w:rPr>
          <w:lang w:eastAsia="en-AU" w:bidi="ar-SA"/>
        </w:rPr>
        <w:t>its</w:t>
      </w:r>
      <w:r w:rsidR="00552010" w:rsidRPr="00AC0E36">
        <w:rPr>
          <w:lang w:eastAsia="en-AU" w:bidi="ar-SA"/>
        </w:rPr>
        <w:t xml:space="preserve"> use as a low calorie sweetener</w:t>
      </w:r>
      <w:r w:rsidRPr="00AC0E36">
        <w:rPr>
          <w:lang w:eastAsia="en-AU" w:bidi="ar-SA"/>
        </w:rPr>
        <w:t>. AOAC 2017.16 would n</w:t>
      </w:r>
      <w:r>
        <w:rPr>
          <w:lang w:eastAsia="en-AU" w:bidi="ar-SA"/>
        </w:rPr>
        <w:t xml:space="preserve">ot detect </w:t>
      </w:r>
      <w:r w:rsidR="00552010">
        <w:rPr>
          <w:lang w:eastAsia="en-AU" w:bidi="ar-SA"/>
        </w:rPr>
        <w:t>DP 1-2</w:t>
      </w:r>
      <w:r>
        <w:rPr>
          <w:lang w:eastAsia="en-AU" w:bidi="ar-SA"/>
        </w:rPr>
        <w:t xml:space="preserve"> components.</w:t>
      </w:r>
      <w:r w:rsidRPr="00AC0E36">
        <w:rPr>
          <w:lang w:eastAsia="en-AU" w:bidi="ar-SA"/>
        </w:rPr>
        <w:t xml:space="preserve"> </w:t>
      </w:r>
      <w:r w:rsidR="00552010">
        <w:rPr>
          <w:lang w:eastAsia="en-AU" w:bidi="ar-SA"/>
        </w:rPr>
        <w:t>The DP 3 and over components have prebiotic effects.</w:t>
      </w:r>
    </w:p>
    <w:p w14:paraId="708F390C" w14:textId="77777777" w:rsidR="005C7B26" w:rsidRDefault="005C7B26" w:rsidP="005C7B26">
      <w:pPr>
        <w:spacing w:before="120" w:after="120"/>
        <w:rPr>
          <w:lang w:bidi="ar-SA"/>
        </w:rPr>
      </w:pPr>
      <w:r>
        <w:rPr>
          <w:lang w:eastAsia="en-AU" w:bidi="ar-SA"/>
        </w:rPr>
        <w:t xml:space="preserve">Unlike GOS, </w:t>
      </w:r>
      <w:r>
        <w:t xml:space="preserve">IMO is not permitted for use in </w:t>
      </w:r>
      <w:r>
        <w:rPr>
          <w:szCs w:val="22"/>
        </w:rPr>
        <w:t>infant formula products, infant food and formulated supplementary foods for young children</w:t>
      </w:r>
      <w:r>
        <w:rPr>
          <w:lang w:eastAsia="en-AU" w:bidi="ar-SA"/>
        </w:rPr>
        <w:t xml:space="preserve"> </w:t>
      </w:r>
      <w:r>
        <w:rPr>
          <w:lang w:bidi="ar-SA"/>
        </w:rPr>
        <w:t xml:space="preserve">(FSANZ 2016; </w:t>
      </w:r>
      <w:hyperlink r:id="rId26" w:history="1">
        <w:r>
          <w:rPr>
            <w:rStyle w:val="Hyperlink"/>
            <w:rFonts w:cs="Arial"/>
            <w:szCs w:val="22"/>
          </w:rPr>
          <w:t>Australian Food Composition Database</w:t>
        </w:r>
      </w:hyperlink>
      <w:r>
        <w:rPr>
          <w:lang w:bidi="ar-SA"/>
        </w:rPr>
        <w:t xml:space="preserve">). </w:t>
      </w:r>
    </w:p>
    <w:p w14:paraId="624AB762" w14:textId="4F537B33" w:rsidR="005C7B26" w:rsidRDefault="00552010" w:rsidP="005C7B26">
      <w:pPr>
        <w:spacing w:before="120" w:after="120"/>
        <w:rPr>
          <w:rFonts w:cs="Arial"/>
        </w:rPr>
      </w:pPr>
      <w:r>
        <w:rPr>
          <w:lang w:bidi="ar-SA"/>
        </w:rPr>
        <w:t>In</w:t>
      </w:r>
      <w:r w:rsidR="005C7B26">
        <w:rPr>
          <w:lang w:bidi="ar-SA"/>
        </w:rPr>
        <w:t xml:space="preserve"> considering permissions for use for AOAC 2017.16, FSANZ considered levels of IMO with a DP &gt; 2 would be lower than GOS and therefore considered it appropriate to apply any risk management approach for GOS equally to IMO.</w:t>
      </w:r>
    </w:p>
    <w:p w14:paraId="611656E8" w14:textId="5E766739" w:rsidR="00A02A13" w:rsidRDefault="00D5198F" w:rsidP="00D40130">
      <w:pPr>
        <w:pStyle w:val="Heading3"/>
        <w:numPr>
          <w:ilvl w:val="2"/>
          <w:numId w:val="23"/>
        </w:numPr>
      </w:pPr>
      <w:bookmarkStart w:id="98" w:name="_Toc86240838"/>
      <w:r>
        <w:t>S</w:t>
      </w:r>
      <w:r w:rsidR="005C2075">
        <w:t xml:space="preserve">ynthetic analogues of </w:t>
      </w:r>
      <w:r w:rsidR="00A02A13">
        <w:t>GOS and IMO</w:t>
      </w:r>
      <w:r w:rsidR="005C2075">
        <w:t xml:space="preserve"> in foods</w:t>
      </w:r>
      <w:r>
        <w:t xml:space="preserve"> in Australia and New Zealand</w:t>
      </w:r>
      <w:bookmarkEnd w:id="98"/>
    </w:p>
    <w:p w14:paraId="3411FB45" w14:textId="335AB7B1" w:rsidR="00615592" w:rsidRDefault="00A02A13" w:rsidP="00A02A13">
      <w:pPr>
        <w:spacing w:before="120" w:after="120"/>
        <w:rPr>
          <w:rFonts w:cs="Arial"/>
          <w:lang w:val="en-AU"/>
        </w:rPr>
      </w:pPr>
      <w:r>
        <w:rPr>
          <w:rFonts w:cs="Arial"/>
          <w:lang w:val="en-AU"/>
        </w:rPr>
        <w:t xml:space="preserve">Confidential data </w:t>
      </w:r>
      <w:r w:rsidR="00EC58DD">
        <w:rPr>
          <w:rFonts w:cs="Arial"/>
          <w:lang w:val="en-AU"/>
        </w:rPr>
        <w:t xml:space="preserve">provided by </w:t>
      </w:r>
      <w:r w:rsidR="001F1F6B" w:rsidRPr="001F1F6B">
        <w:rPr>
          <w:rFonts w:cs="Arial"/>
          <w:lang w:val="en-AU"/>
        </w:rPr>
        <w:t xml:space="preserve">members </w:t>
      </w:r>
      <w:r w:rsidR="001F1F6B">
        <w:rPr>
          <w:rFonts w:cs="Arial"/>
          <w:lang w:val="en-AU"/>
        </w:rPr>
        <w:t xml:space="preserve">and representatives </w:t>
      </w:r>
      <w:r w:rsidR="001F1F6B" w:rsidRPr="001F1F6B">
        <w:rPr>
          <w:rFonts w:cs="Arial"/>
          <w:lang w:val="en-AU"/>
        </w:rPr>
        <w:t>of industry and the Applicant</w:t>
      </w:r>
      <w:r w:rsidR="001F1F6B">
        <w:rPr>
          <w:rFonts w:cs="Arial"/>
          <w:lang w:val="en-AU"/>
        </w:rPr>
        <w:t xml:space="preserve"> </w:t>
      </w:r>
      <w:r w:rsidR="00EC58DD">
        <w:rPr>
          <w:rFonts w:cs="Arial"/>
          <w:lang w:val="en-AU"/>
        </w:rPr>
        <w:t xml:space="preserve">after the call for submissions </w:t>
      </w:r>
      <w:r>
        <w:rPr>
          <w:rFonts w:cs="Arial"/>
          <w:lang w:val="en-AU"/>
        </w:rPr>
        <w:t xml:space="preserve">confirmed the findings from the </w:t>
      </w:r>
      <w:r w:rsidR="00615592">
        <w:rPr>
          <w:rFonts w:cs="Arial"/>
          <w:lang w:val="en-AU"/>
        </w:rPr>
        <w:t>SD1</w:t>
      </w:r>
      <w:r>
        <w:rPr>
          <w:rFonts w:cs="Arial"/>
          <w:lang w:val="en-AU"/>
        </w:rPr>
        <w:t xml:space="preserve"> </w:t>
      </w:r>
      <w:r w:rsidR="00D5198F">
        <w:rPr>
          <w:rFonts w:cs="Arial"/>
          <w:lang w:val="en-AU"/>
        </w:rPr>
        <w:t xml:space="preserve">and CFS </w:t>
      </w:r>
      <w:r>
        <w:rPr>
          <w:rFonts w:cs="Arial"/>
          <w:lang w:val="en-AU"/>
        </w:rPr>
        <w:t>that GOS</w:t>
      </w:r>
      <w:r w:rsidR="00615592">
        <w:rPr>
          <w:rFonts w:cs="Arial"/>
          <w:lang w:val="en-AU"/>
        </w:rPr>
        <w:t xml:space="preserve"> and IMO are not added to many foods.</w:t>
      </w:r>
    </w:p>
    <w:p w14:paraId="6F260CE5" w14:textId="7DAB0B79" w:rsidR="00EC58DD" w:rsidRPr="00D5198F" w:rsidRDefault="00A02A13" w:rsidP="00D5198F">
      <w:pPr>
        <w:spacing w:before="120" w:after="120"/>
        <w:rPr>
          <w:rFonts w:cs="Arial"/>
        </w:rPr>
      </w:pPr>
      <w:r w:rsidRPr="00D5198F">
        <w:rPr>
          <w:rFonts w:cs="Arial"/>
        </w:rPr>
        <w:t>Permissions</w:t>
      </w:r>
      <w:r w:rsidR="00615592" w:rsidRPr="00D5198F">
        <w:rPr>
          <w:rFonts w:cs="Arial"/>
        </w:rPr>
        <w:t xml:space="preserve"> exist</w:t>
      </w:r>
      <w:r w:rsidRPr="00D5198F">
        <w:rPr>
          <w:rFonts w:cs="Arial"/>
        </w:rPr>
        <w:t xml:space="preserve"> for the use of GOS in </w:t>
      </w:r>
      <w:r w:rsidR="00615592" w:rsidRPr="00D5198F">
        <w:rPr>
          <w:rFonts w:cs="Arial"/>
        </w:rPr>
        <w:t xml:space="preserve">infant formula products and formulated supplementary foods for young children. </w:t>
      </w:r>
      <w:r w:rsidRPr="00D5198F">
        <w:rPr>
          <w:rFonts w:cs="Arial"/>
        </w:rPr>
        <w:t xml:space="preserve">Other foods containing GOS are </w:t>
      </w:r>
      <w:r w:rsidR="00A01D4C" w:rsidRPr="00D5198F">
        <w:rPr>
          <w:rFonts w:cs="Arial"/>
        </w:rPr>
        <w:t xml:space="preserve">mostly </w:t>
      </w:r>
      <w:r w:rsidRPr="00D5198F">
        <w:rPr>
          <w:rFonts w:cs="Arial"/>
        </w:rPr>
        <w:t>dairy products</w:t>
      </w:r>
      <w:r w:rsidR="00A01D4C" w:rsidRPr="00D5198F">
        <w:rPr>
          <w:rFonts w:cs="Arial"/>
        </w:rPr>
        <w:t xml:space="preserve">. </w:t>
      </w:r>
      <w:r w:rsidR="00615592" w:rsidRPr="00D5198F">
        <w:rPr>
          <w:rFonts w:cs="Arial"/>
        </w:rPr>
        <w:t>T</w:t>
      </w:r>
      <w:r w:rsidR="00A01D4C" w:rsidRPr="00D5198F">
        <w:rPr>
          <w:rFonts w:cs="Arial"/>
        </w:rPr>
        <w:t>he purpose of</w:t>
      </w:r>
      <w:r w:rsidRPr="00D5198F">
        <w:rPr>
          <w:rFonts w:cs="Arial"/>
        </w:rPr>
        <w:t xml:space="preserve"> addition </w:t>
      </w:r>
      <w:r w:rsidR="00615592" w:rsidRPr="00D5198F">
        <w:rPr>
          <w:rFonts w:cs="Arial"/>
        </w:rPr>
        <w:t xml:space="preserve">is </w:t>
      </w:r>
      <w:r w:rsidR="00A01D4C" w:rsidRPr="00D5198F">
        <w:rPr>
          <w:rFonts w:cs="Arial"/>
        </w:rPr>
        <w:t>as a ‘prebiotic’</w:t>
      </w:r>
      <w:r w:rsidR="00EC58DD" w:rsidRPr="00D5198F">
        <w:rPr>
          <w:rFonts w:cs="Arial"/>
        </w:rPr>
        <w:t xml:space="preserve"> and it is not marketed as a dietary fibre</w:t>
      </w:r>
      <w:r w:rsidRPr="00D5198F">
        <w:rPr>
          <w:rFonts w:cs="Arial"/>
        </w:rPr>
        <w:t>.</w:t>
      </w:r>
    </w:p>
    <w:p w14:paraId="364D4162" w14:textId="0FAB0032" w:rsidR="00D5198F" w:rsidRPr="00D5198F" w:rsidRDefault="00A02A13" w:rsidP="00D5198F">
      <w:pPr>
        <w:spacing w:before="120" w:after="120"/>
        <w:rPr>
          <w:rFonts w:cs="Arial"/>
        </w:rPr>
      </w:pPr>
      <w:r w:rsidRPr="00D5198F">
        <w:rPr>
          <w:rFonts w:cs="Arial"/>
        </w:rPr>
        <w:t xml:space="preserve">IMO appear to be added to </w:t>
      </w:r>
      <w:r w:rsidR="00A01D4C" w:rsidRPr="00D5198F">
        <w:rPr>
          <w:rFonts w:cs="Arial"/>
        </w:rPr>
        <w:t>wider variety of</w:t>
      </w:r>
      <w:r w:rsidRPr="00D5198F">
        <w:rPr>
          <w:rFonts w:cs="Arial"/>
        </w:rPr>
        <w:t xml:space="preserve"> food products than GOS, but are prohibited for use in infant formula products and formulated supplementary foods for young children.</w:t>
      </w:r>
      <w:r w:rsidR="00552010">
        <w:rPr>
          <w:rFonts w:cs="Arial"/>
        </w:rPr>
        <w:t xml:space="preserve"> As outlined above under section 3.2.2, the purpose of addition </w:t>
      </w:r>
      <w:r w:rsidR="00EC58DD" w:rsidRPr="00D5198F">
        <w:rPr>
          <w:rFonts w:cs="Arial"/>
        </w:rPr>
        <w:t>is as a dietary fibre</w:t>
      </w:r>
      <w:r w:rsidRPr="00D5198F">
        <w:rPr>
          <w:rFonts w:cs="Arial"/>
        </w:rPr>
        <w:t>.</w:t>
      </w:r>
    </w:p>
    <w:p w14:paraId="0E43B42B" w14:textId="2D5FD944" w:rsidR="00A02A13" w:rsidRDefault="00D5198F" w:rsidP="00D5198F">
      <w:pPr>
        <w:spacing w:before="120" w:after="120"/>
        <w:rPr>
          <w:rFonts w:cs="Arial"/>
        </w:rPr>
      </w:pPr>
      <w:r>
        <w:rPr>
          <w:rFonts w:cs="Arial"/>
        </w:rPr>
        <w:t>Feedback received through the consultation process indicated that t</w:t>
      </w:r>
      <w:r w:rsidR="00615592" w:rsidRPr="00D5198F">
        <w:rPr>
          <w:rFonts w:cs="Arial"/>
        </w:rPr>
        <w:t xml:space="preserve">he higher cost of GOS </w:t>
      </w:r>
      <w:r w:rsidR="00EC58DD" w:rsidRPr="00D5198F">
        <w:rPr>
          <w:rFonts w:cs="Arial"/>
        </w:rPr>
        <w:t xml:space="preserve">and IMO </w:t>
      </w:r>
      <w:r w:rsidR="00615592" w:rsidRPr="00D5198F">
        <w:rPr>
          <w:rFonts w:cs="Arial"/>
        </w:rPr>
        <w:t>compared to comparable oligosaccharides such as FOS and polydextrose</w:t>
      </w:r>
      <w:r w:rsidRPr="00D5198F">
        <w:rPr>
          <w:rFonts w:cs="Arial"/>
        </w:rPr>
        <w:t xml:space="preserve"> are limiting factors for the addition</w:t>
      </w:r>
      <w:r w:rsidR="00EC58DD" w:rsidRPr="00D5198F">
        <w:rPr>
          <w:rFonts w:cs="Arial"/>
        </w:rPr>
        <w:t xml:space="preserve"> of the two substances in foods</w:t>
      </w:r>
      <w:r w:rsidR="00615592" w:rsidRPr="00D5198F">
        <w:rPr>
          <w:rFonts w:cs="Arial"/>
        </w:rPr>
        <w:t>.</w:t>
      </w:r>
    </w:p>
    <w:p w14:paraId="511EDF8B" w14:textId="3F74F426" w:rsidR="00411095" w:rsidRDefault="00411095" w:rsidP="00D5198F">
      <w:pPr>
        <w:spacing w:before="120" w:after="120"/>
        <w:rPr>
          <w:rFonts w:cs="Arial"/>
          <w:lang w:val="en-AU"/>
        </w:rPr>
      </w:pPr>
      <w:r w:rsidRPr="00645AD0">
        <w:rPr>
          <w:rFonts w:cs="Arial"/>
        </w:rPr>
        <w:t>FSANZ consider</w:t>
      </w:r>
      <w:r w:rsidR="00E84D9F" w:rsidRPr="00645AD0">
        <w:rPr>
          <w:rFonts w:cs="Arial"/>
        </w:rPr>
        <w:t>ed</w:t>
      </w:r>
      <w:r w:rsidRPr="00645AD0">
        <w:rPr>
          <w:rFonts w:cs="Arial"/>
        </w:rPr>
        <w:t xml:space="preserve"> the </w:t>
      </w:r>
      <w:r w:rsidR="00631174" w:rsidRPr="00645AD0">
        <w:rPr>
          <w:rFonts w:cs="Arial"/>
        </w:rPr>
        <w:t>addition of</w:t>
      </w:r>
      <w:r w:rsidRPr="00645AD0">
        <w:rPr>
          <w:rFonts w:cs="Arial"/>
        </w:rPr>
        <w:t xml:space="preserve"> GOS </w:t>
      </w:r>
      <w:r w:rsidR="00631174" w:rsidRPr="00645AD0">
        <w:rPr>
          <w:rFonts w:cs="Arial"/>
        </w:rPr>
        <w:t>and</w:t>
      </w:r>
      <w:r w:rsidRPr="00645AD0">
        <w:rPr>
          <w:rFonts w:cs="Arial"/>
        </w:rPr>
        <w:t xml:space="preserve"> IMO </w:t>
      </w:r>
      <w:r w:rsidR="00631174" w:rsidRPr="00645AD0">
        <w:rPr>
          <w:rFonts w:cs="Arial"/>
        </w:rPr>
        <w:t xml:space="preserve">to foods </w:t>
      </w:r>
      <w:r w:rsidRPr="00645AD0">
        <w:rPr>
          <w:rFonts w:cs="Arial"/>
        </w:rPr>
        <w:t xml:space="preserve">as </w:t>
      </w:r>
      <w:r w:rsidR="00631174" w:rsidRPr="00645AD0">
        <w:rPr>
          <w:rFonts w:cs="Arial"/>
        </w:rPr>
        <w:t>‘</w:t>
      </w:r>
      <w:r w:rsidRPr="00645AD0">
        <w:rPr>
          <w:rFonts w:cs="Arial"/>
        </w:rPr>
        <w:t>dietary fibre</w:t>
      </w:r>
      <w:r w:rsidR="00631174" w:rsidRPr="00645AD0">
        <w:rPr>
          <w:rFonts w:cs="Arial"/>
        </w:rPr>
        <w:t>’ to be</w:t>
      </w:r>
      <w:r w:rsidRPr="00645AD0">
        <w:rPr>
          <w:rFonts w:cs="Arial"/>
        </w:rPr>
        <w:t xml:space="preserve"> inappropriate given they d</w:t>
      </w:r>
      <w:r w:rsidR="00E84D9F" w:rsidRPr="00645AD0">
        <w:rPr>
          <w:rFonts w:cs="Arial"/>
        </w:rPr>
        <w:t>o</w:t>
      </w:r>
      <w:r w:rsidRPr="00645AD0">
        <w:rPr>
          <w:rFonts w:cs="Arial"/>
        </w:rPr>
        <w:t xml:space="preserve"> not meet all criteria required under the Code’s dietary fibre definition</w:t>
      </w:r>
      <w:r w:rsidR="00E84D9F" w:rsidRPr="00645AD0">
        <w:rPr>
          <w:rFonts w:cs="Arial"/>
        </w:rPr>
        <w:t>,</w:t>
      </w:r>
      <w:r w:rsidRPr="00645AD0">
        <w:rPr>
          <w:rFonts w:cs="Arial"/>
        </w:rPr>
        <w:t xml:space="preserve"> and acknowledge</w:t>
      </w:r>
      <w:r w:rsidR="00E84D9F" w:rsidRPr="00645AD0">
        <w:rPr>
          <w:rFonts w:cs="Arial"/>
        </w:rPr>
        <w:t>d</w:t>
      </w:r>
      <w:r w:rsidRPr="00645AD0">
        <w:rPr>
          <w:rFonts w:cs="Arial"/>
        </w:rPr>
        <w:t xml:space="preserve"> </w:t>
      </w:r>
      <w:r w:rsidR="00631174" w:rsidRPr="00645AD0">
        <w:rPr>
          <w:rFonts w:cs="Arial"/>
        </w:rPr>
        <w:t xml:space="preserve">similar </w:t>
      </w:r>
      <w:r w:rsidRPr="00645AD0">
        <w:rPr>
          <w:rFonts w:cs="Arial"/>
        </w:rPr>
        <w:t xml:space="preserve">concerns </w:t>
      </w:r>
      <w:r w:rsidR="005571C8" w:rsidRPr="00645AD0">
        <w:rPr>
          <w:rFonts w:cs="Arial"/>
        </w:rPr>
        <w:t xml:space="preserve">were </w:t>
      </w:r>
      <w:r w:rsidRPr="00645AD0">
        <w:rPr>
          <w:rFonts w:cs="Arial"/>
        </w:rPr>
        <w:t xml:space="preserve">raised by stakeholders. FSANZ will </w:t>
      </w:r>
      <w:r w:rsidRPr="00645AD0">
        <w:rPr>
          <w:rFonts w:cs="Arial"/>
          <w:lang w:val="en-AU"/>
        </w:rPr>
        <w:t>maintain a watching brief on</w:t>
      </w:r>
      <w:r w:rsidR="00E84D9F" w:rsidRPr="00645AD0">
        <w:rPr>
          <w:rFonts w:cs="Arial"/>
          <w:lang w:val="en-AU"/>
        </w:rPr>
        <w:t xml:space="preserve"> </w:t>
      </w:r>
      <w:r w:rsidR="00E84D9F" w:rsidRPr="00645AD0">
        <w:rPr>
          <w:rFonts w:cs="Arial"/>
        </w:rPr>
        <w:t>the uptake of AOAC 2017.16 and trends in reported total dietary fibre values, in particular any significant changes to front-of-pack label reporting.</w:t>
      </w:r>
      <w:r w:rsidRPr="00645AD0">
        <w:rPr>
          <w:rFonts w:cs="Arial"/>
          <w:lang w:val="en-AU"/>
        </w:rPr>
        <w:t xml:space="preserve"> </w:t>
      </w:r>
    </w:p>
    <w:p w14:paraId="04C71DD1" w14:textId="2B0497E6" w:rsidR="00832356" w:rsidRDefault="00832356" w:rsidP="00D5198F">
      <w:pPr>
        <w:spacing w:before="120" w:after="120"/>
        <w:rPr>
          <w:rFonts w:cs="Arial"/>
        </w:rPr>
      </w:pPr>
    </w:p>
    <w:p w14:paraId="6A441D42" w14:textId="77777777" w:rsidR="00832356" w:rsidRPr="00D5198F" w:rsidRDefault="00832356" w:rsidP="00D5198F">
      <w:pPr>
        <w:spacing w:before="120" w:after="120"/>
        <w:rPr>
          <w:rFonts w:cs="Arial"/>
        </w:rPr>
      </w:pPr>
    </w:p>
    <w:p w14:paraId="4B302A68" w14:textId="11003D6F" w:rsidR="005C7B26" w:rsidRDefault="00716C11" w:rsidP="00D40130">
      <w:pPr>
        <w:pStyle w:val="Heading3"/>
        <w:numPr>
          <w:ilvl w:val="2"/>
          <w:numId w:val="23"/>
        </w:numPr>
        <w:rPr>
          <w:rFonts w:cs="Arial"/>
        </w:rPr>
      </w:pPr>
      <w:bookmarkStart w:id="99" w:name="_Toc86240839"/>
      <w:r>
        <w:t>The b</w:t>
      </w:r>
      <w:r w:rsidR="00D5198F">
        <w:rPr>
          <w:rFonts w:cs="Arial"/>
        </w:rPr>
        <w:t>eneficial physiological effects recognised by other countries for</w:t>
      </w:r>
      <w:r>
        <w:rPr>
          <w:rFonts w:cs="Arial"/>
        </w:rPr>
        <w:t xml:space="preserve"> </w:t>
      </w:r>
      <w:r w:rsidR="00184407">
        <w:rPr>
          <w:rFonts w:cs="Arial"/>
        </w:rPr>
        <w:lastRenderedPageBreak/>
        <w:t xml:space="preserve">dietary </w:t>
      </w:r>
      <w:r>
        <w:rPr>
          <w:rFonts w:cs="Arial"/>
        </w:rPr>
        <w:t>fibre</w:t>
      </w:r>
      <w:bookmarkEnd w:id="99"/>
    </w:p>
    <w:p w14:paraId="26111DB4" w14:textId="5F0D01FB" w:rsidR="001702EA" w:rsidRDefault="00DA5C57" w:rsidP="003648E6">
      <w:pPr>
        <w:spacing w:before="120" w:after="120"/>
        <w:rPr>
          <w:rFonts w:cs="Arial"/>
        </w:rPr>
      </w:pPr>
      <w:r>
        <w:rPr>
          <w:rFonts w:cs="Arial"/>
        </w:rPr>
        <w:t>The Code requires a dietary fibre</w:t>
      </w:r>
      <w:r w:rsidR="00BD60A8">
        <w:rPr>
          <w:rFonts w:cs="Arial"/>
        </w:rPr>
        <w:t xml:space="preserve"> (regardless of if it is naturally occurring or a synthetic analogue) to promote one or more of the three listed beneficial physiological effect</w:t>
      </w:r>
      <w:r w:rsidR="00207C74">
        <w:rPr>
          <w:rFonts w:cs="Arial"/>
        </w:rPr>
        <w:t>s</w:t>
      </w:r>
      <w:r w:rsidR="00BD60A8">
        <w:rPr>
          <w:rFonts w:cs="Arial"/>
        </w:rPr>
        <w:t xml:space="preserve">. </w:t>
      </w:r>
      <w:r>
        <w:rPr>
          <w:rFonts w:cs="Arial"/>
        </w:rPr>
        <w:t>T</w:t>
      </w:r>
      <w:r w:rsidR="006E22F9" w:rsidRPr="006E22F9">
        <w:rPr>
          <w:rFonts w:cs="Arial"/>
        </w:rPr>
        <w:t>he body of evidence assessed</w:t>
      </w:r>
      <w:r w:rsidR="006E22F9">
        <w:rPr>
          <w:rFonts w:cs="Arial"/>
        </w:rPr>
        <w:t xml:space="preserve"> at SD2</w:t>
      </w:r>
      <w:r w:rsidR="006E22F9" w:rsidRPr="006E22F9">
        <w:rPr>
          <w:rFonts w:cs="Arial"/>
        </w:rPr>
        <w:t xml:space="preserve"> did not </w:t>
      </w:r>
      <w:r>
        <w:rPr>
          <w:rFonts w:cs="Arial"/>
        </w:rPr>
        <w:t xml:space="preserve">find that GOS </w:t>
      </w:r>
      <w:r w:rsidR="00552010">
        <w:rPr>
          <w:rFonts w:cs="Arial"/>
        </w:rPr>
        <w:t>demonstrated</w:t>
      </w:r>
      <w:r w:rsidR="006E22F9" w:rsidRPr="006E22F9">
        <w:rPr>
          <w:rFonts w:cs="Arial"/>
        </w:rPr>
        <w:t xml:space="preserve"> any of the three listed beneficial physiological effects.</w:t>
      </w:r>
    </w:p>
    <w:p w14:paraId="7AB0CEF8" w14:textId="2D0A9EF4" w:rsidR="00C30C1F" w:rsidRDefault="009B2AA8" w:rsidP="003648E6">
      <w:pPr>
        <w:spacing w:before="120" w:after="120"/>
        <w:rPr>
          <w:rFonts w:cs="Arial"/>
          <w:lang w:val="en-AU"/>
        </w:rPr>
      </w:pPr>
      <w:r w:rsidRPr="00B61D01">
        <w:rPr>
          <w:rFonts w:cs="Arial"/>
          <w:lang w:val="en-AU"/>
        </w:rPr>
        <w:t xml:space="preserve">However, FSANZ has given consideration to countries </w:t>
      </w:r>
      <w:r w:rsidR="00B61D01" w:rsidRPr="00F03A8A">
        <w:rPr>
          <w:rFonts w:cs="Arial"/>
          <w:lang w:val="en-AU"/>
        </w:rPr>
        <w:t xml:space="preserve">comparable </w:t>
      </w:r>
      <w:r w:rsidRPr="00B61D01">
        <w:rPr>
          <w:rFonts w:cs="Arial"/>
          <w:lang w:val="en-AU"/>
        </w:rPr>
        <w:t>to Australia and New Zealand with more recently updated dietary fibre definitions</w:t>
      </w:r>
      <w:r>
        <w:rPr>
          <w:rFonts w:cs="Arial"/>
          <w:lang w:val="en-AU"/>
        </w:rPr>
        <w:t>.</w:t>
      </w:r>
      <w:r w:rsidR="00184407">
        <w:rPr>
          <w:rFonts w:cs="Arial"/>
          <w:lang w:val="en-AU"/>
        </w:rPr>
        <w:t xml:space="preserve"> </w:t>
      </w:r>
      <w:r w:rsidR="001702EA" w:rsidRPr="00C4701E">
        <w:rPr>
          <w:rFonts w:cs="Arial"/>
          <w:lang w:val="en-AU"/>
        </w:rPr>
        <w:t xml:space="preserve">GOS </w:t>
      </w:r>
      <w:r w:rsidR="00DA5C57">
        <w:rPr>
          <w:rFonts w:cs="Arial"/>
          <w:lang w:val="en-AU"/>
        </w:rPr>
        <w:t>and IMO are</w:t>
      </w:r>
      <w:r w:rsidR="001702EA" w:rsidRPr="00C4701E">
        <w:rPr>
          <w:rFonts w:cs="Arial"/>
          <w:lang w:val="en-AU"/>
        </w:rPr>
        <w:t xml:space="preserve"> considered a dietary fibre in other countries due to t</w:t>
      </w:r>
      <w:r w:rsidR="001702EA">
        <w:rPr>
          <w:rFonts w:cs="Arial"/>
          <w:lang w:val="en-AU"/>
        </w:rPr>
        <w:t xml:space="preserve">he outcomes of </w:t>
      </w:r>
      <w:r w:rsidR="00DA5C57">
        <w:rPr>
          <w:rFonts w:cs="Arial"/>
          <w:lang w:val="en-AU"/>
        </w:rPr>
        <w:t>their</w:t>
      </w:r>
      <w:r w:rsidR="001702EA">
        <w:rPr>
          <w:rFonts w:cs="Arial"/>
          <w:lang w:val="en-AU"/>
        </w:rPr>
        <w:t xml:space="preserve"> </w:t>
      </w:r>
      <w:r w:rsidR="00C11565">
        <w:rPr>
          <w:rFonts w:cs="Arial"/>
          <w:lang w:val="en-AU"/>
        </w:rPr>
        <w:t xml:space="preserve">(partial) </w:t>
      </w:r>
      <w:r w:rsidR="00BC4E52">
        <w:rPr>
          <w:rFonts w:cs="Arial"/>
          <w:lang w:val="en-AU"/>
        </w:rPr>
        <w:t>fermentability</w:t>
      </w:r>
      <w:r w:rsidR="001702EA">
        <w:rPr>
          <w:rFonts w:cs="Arial"/>
          <w:lang w:val="en-AU"/>
        </w:rPr>
        <w:t>. F</w:t>
      </w:r>
      <w:r w:rsidR="001702EA" w:rsidRPr="00C4701E">
        <w:rPr>
          <w:rFonts w:cs="Arial"/>
          <w:lang w:val="en-AU"/>
        </w:rPr>
        <w:t>or example, the production of ene</w:t>
      </w:r>
      <w:r w:rsidR="001702EA">
        <w:rPr>
          <w:rFonts w:cs="Arial"/>
          <w:lang w:val="en-AU"/>
        </w:rPr>
        <w:t>rgy yielding microbes in Canada;</w:t>
      </w:r>
      <w:r w:rsidR="001702EA" w:rsidRPr="00C4701E">
        <w:rPr>
          <w:rFonts w:cs="Arial"/>
          <w:lang w:val="en-AU"/>
        </w:rPr>
        <w:t xml:space="preserve"> fermentable by colonic microflora</w:t>
      </w:r>
      <w:r w:rsidR="001702EA">
        <w:rPr>
          <w:rFonts w:cs="Arial"/>
          <w:lang w:val="en-AU"/>
        </w:rPr>
        <w:t xml:space="preserve"> (among others) in the EU;</w:t>
      </w:r>
      <w:r w:rsidR="001702EA" w:rsidRPr="00C4701E">
        <w:rPr>
          <w:rFonts w:cs="Arial"/>
          <w:lang w:val="en-AU"/>
        </w:rPr>
        <w:t xml:space="preserve"> and enhanced mineral absorption</w:t>
      </w:r>
      <w:r w:rsidR="00DA5C57">
        <w:rPr>
          <w:rFonts w:cs="Arial"/>
          <w:lang w:val="en-AU"/>
        </w:rPr>
        <w:t xml:space="preserve"> (for GOS only)</w:t>
      </w:r>
      <w:r w:rsidR="001702EA" w:rsidRPr="00C4701E">
        <w:rPr>
          <w:rFonts w:cs="Arial"/>
          <w:lang w:val="en-AU"/>
        </w:rPr>
        <w:t xml:space="preserve"> in the US.</w:t>
      </w:r>
    </w:p>
    <w:p w14:paraId="4D759FB2" w14:textId="55971496" w:rsidR="005571C8" w:rsidRDefault="00C30C1F" w:rsidP="003648E6">
      <w:pPr>
        <w:spacing w:before="120" w:after="120"/>
        <w:rPr>
          <w:rFonts w:cs="Arial"/>
          <w:lang w:val="en-AU"/>
        </w:rPr>
      </w:pPr>
      <w:r w:rsidRPr="00C4701E">
        <w:rPr>
          <w:rFonts w:cs="Arial"/>
          <w:lang w:val="en-AU"/>
        </w:rPr>
        <w:t xml:space="preserve">Reviewing the Code’s dietary fibre definition to </w:t>
      </w:r>
      <w:r>
        <w:rPr>
          <w:rFonts w:cs="Arial"/>
          <w:lang w:val="en-AU"/>
        </w:rPr>
        <w:t>assess</w:t>
      </w:r>
      <w:r w:rsidRPr="00C4701E">
        <w:rPr>
          <w:rFonts w:cs="Arial"/>
          <w:lang w:val="en-AU"/>
        </w:rPr>
        <w:t xml:space="preserve"> </w:t>
      </w:r>
      <w:r w:rsidR="00B7437E">
        <w:rPr>
          <w:rFonts w:cs="Arial"/>
          <w:lang w:val="en-AU"/>
        </w:rPr>
        <w:t>additional</w:t>
      </w:r>
      <w:r w:rsidRPr="00C4701E">
        <w:rPr>
          <w:rFonts w:cs="Arial"/>
          <w:lang w:val="en-AU"/>
        </w:rPr>
        <w:t xml:space="preserve"> beneficial </w:t>
      </w:r>
      <w:r w:rsidR="00B7437E">
        <w:rPr>
          <w:rFonts w:cs="Arial"/>
          <w:lang w:val="en-AU"/>
        </w:rPr>
        <w:t xml:space="preserve">physiological </w:t>
      </w:r>
      <w:r w:rsidRPr="00C4701E">
        <w:rPr>
          <w:rFonts w:cs="Arial"/>
          <w:lang w:val="en-AU"/>
        </w:rPr>
        <w:t xml:space="preserve">effects </w:t>
      </w:r>
      <w:r w:rsidR="00207C74">
        <w:rPr>
          <w:rFonts w:cs="Arial"/>
          <w:lang w:val="en-AU"/>
        </w:rPr>
        <w:t>is not</w:t>
      </w:r>
      <w:r w:rsidRPr="00C4701E">
        <w:rPr>
          <w:rFonts w:cs="Arial"/>
          <w:lang w:val="en-AU"/>
        </w:rPr>
        <w:t xml:space="preserve"> within</w:t>
      </w:r>
      <w:r>
        <w:rPr>
          <w:rFonts w:cs="Arial"/>
          <w:lang w:val="en-AU"/>
        </w:rPr>
        <w:t xml:space="preserve"> </w:t>
      </w:r>
      <w:bookmarkStart w:id="100" w:name="_Ref73456520"/>
      <w:r w:rsidR="00EC58DD">
        <w:rPr>
          <w:rFonts w:cs="Arial"/>
          <w:lang w:val="en-AU"/>
        </w:rPr>
        <w:t xml:space="preserve">the scope of </w:t>
      </w:r>
      <w:r w:rsidR="006E61C2">
        <w:rPr>
          <w:rFonts w:cs="Arial"/>
          <w:lang w:val="en-AU"/>
        </w:rPr>
        <w:t xml:space="preserve">Application </w:t>
      </w:r>
      <w:r w:rsidR="00EC58DD">
        <w:rPr>
          <w:rFonts w:cs="Arial"/>
          <w:lang w:val="en-AU"/>
        </w:rPr>
        <w:t>A1178.</w:t>
      </w:r>
      <w:r w:rsidR="006B2BAB">
        <w:rPr>
          <w:rFonts w:cs="Arial"/>
          <w:lang w:val="en-AU"/>
        </w:rPr>
        <w:t xml:space="preserve"> FSANZ </w:t>
      </w:r>
      <w:r w:rsidR="00411095" w:rsidRPr="00645AD0">
        <w:rPr>
          <w:rFonts w:cs="Arial"/>
          <w:lang w:val="en-AU"/>
        </w:rPr>
        <w:t>will</w:t>
      </w:r>
      <w:r w:rsidR="005571C8" w:rsidRPr="00645AD0">
        <w:rPr>
          <w:rFonts w:cs="Arial"/>
          <w:lang w:val="en-AU"/>
        </w:rPr>
        <w:t xml:space="preserve"> continue to consider the </w:t>
      </w:r>
      <w:r w:rsidR="005571C8" w:rsidRPr="00645AD0">
        <w:rPr>
          <w:rFonts w:cs="Arial"/>
        </w:rPr>
        <w:t>currency of the Code’s definition of dietary fibre, including alignment internationally</w:t>
      </w:r>
      <w:r w:rsidR="00805FDB" w:rsidRPr="00645AD0">
        <w:rPr>
          <w:rFonts w:cs="Arial"/>
          <w:lang w:val="en-AU"/>
        </w:rPr>
        <w:t>.</w:t>
      </w:r>
    </w:p>
    <w:p w14:paraId="2F630ABB" w14:textId="10BD9884" w:rsidR="00716C11" w:rsidRPr="003C6F22" w:rsidRDefault="006B6C82" w:rsidP="00D40130">
      <w:pPr>
        <w:pStyle w:val="Heading3"/>
        <w:numPr>
          <w:ilvl w:val="2"/>
          <w:numId w:val="23"/>
        </w:numPr>
      </w:pPr>
      <w:bookmarkStart w:id="101" w:name="_Toc86240840"/>
      <w:r w:rsidRPr="003C6F22">
        <w:rPr>
          <w:rFonts w:cs="Arial"/>
        </w:rPr>
        <w:t>Practical considerations with a restriction</w:t>
      </w:r>
      <w:r w:rsidR="00777ABA" w:rsidRPr="003C6F22">
        <w:rPr>
          <w:rFonts w:cs="Arial"/>
        </w:rPr>
        <w:t xml:space="preserve"> of AOAC 2017.16 on GOS or IMO containing foods</w:t>
      </w:r>
      <w:bookmarkEnd w:id="101"/>
    </w:p>
    <w:p w14:paraId="3E03EBB3" w14:textId="54EBABCF" w:rsidR="00766EA1" w:rsidRDefault="00716C11" w:rsidP="003648E6">
      <w:pPr>
        <w:spacing w:before="120" w:after="120"/>
        <w:rPr>
          <w:rFonts w:cs="Arial"/>
          <w:lang w:val="en-AU"/>
        </w:rPr>
      </w:pPr>
      <w:r>
        <w:rPr>
          <w:rFonts w:cs="Arial"/>
          <w:lang w:val="en-AU"/>
        </w:rPr>
        <w:t xml:space="preserve">Given the limitations in demonstrating the </w:t>
      </w:r>
      <w:r>
        <w:t>b</w:t>
      </w:r>
      <w:r>
        <w:rPr>
          <w:rFonts w:cs="Arial"/>
        </w:rPr>
        <w:t xml:space="preserve">eneficial physiological effect of GOS as a </w:t>
      </w:r>
      <w:r w:rsidR="00DC07D7">
        <w:rPr>
          <w:rFonts w:cs="Arial"/>
        </w:rPr>
        <w:t xml:space="preserve">dietary </w:t>
      </w:r>
      <w:r>
        <w:rPr>
          <w:rFonts w:cs="Arial"/>
        </w:rPr>
        <w:t xml:space="preserve">fibre, </w:t>
      </w:r>
      <w:r>
        <w:rPr>
          <w:lang w:eastAsia="en-AU" w:bidi="ar-SA"/>
        </w:rPr>
        <w:t>F</w:t>
      </w:r>
      <w:r w:rsidR="006B6C82">
        <w:rPr>
          <w:lang w:eastAsia="en-AU" w:bidi="ar-SA"/>
        </w:rPr>
        <w:t xml:space="preserve">SANZ considered permitting AOAC 2017.16 with a restriction on its use with foods containing GOS and/or IMO. </w:t>
      </w:r>
      <w:r w:rsidR="00766EA1">
        <w:t>A restriction</w:t>
      </w:r>
      <w:r w:rsidR="00766EA1" w:rsidRPr="001D2111">
        <w:t xml:space="preserve"> would severely </w:t>
      </w:r>
      <w:r w:rsidR="00766EA1">
        <w:t>limit</w:t>
      </w:r>
      <w:r w:rsidR="00766EA1" w:rsidRPr="001D2111">
        <w:t xml:space="preserve"> the use of </w:t>
      </w:r>
      <w:r w:rsidR="00766EA1">
        <w:t>AOAC 2017.16</w:t>
      </w:r>
      <w:r w:rsidR="00766EA1" w:rsidRPr="001D2111">
        <w:t xml:space="preserve"> on foods containing certain LMWDF</w:t>
      </w:r>
      <w:r w:rsidR="00766EA1">
        <w:t xml:space="preserve">, including any food containing dairy or wheat. Such a restriction </w:t>
      </w:r>
      <w:r w:rsidR="00CB6F7F">
        <w:t xml:space="preserve">on the use of the method </w:t>
      </w:r>
      <w:r w:rsidR="006B6C82">
        <w:rPr>
          <w:rFonts w:cs="Arial"/>
          <w:lang w:val="en-AU"/>
        </w:rPr>
        <w:t>would not be consistent with current approvals for methods of analysis in the Code</w:t>
      </w:r>
      <w:r w:rsidR="00552010">
        <w:rPr>
          <w:rFonts w:cs="Arial"/>
          <w:lang w:val="en-AU"/>
        </w:rPr>
        <w:t xml:space="preserve"> (which are not restricted for use on certain foods)</w:t>
      </w:r>
      <w:r w:rsidR="006B6C82">
        <w:rPr>
          <w:rFonts w:cs="Arial"/>
          <w:lang w:val="en-AU"/>
        </w:rPr>
        <w:t xml:space="preserve">, and would be imposing a regulatory burden on </w:t>
      </w:r>
      <w:r w:rsidR="0063348A">
        <w:rPr>
          <w:rFonts w:cs="Arial"/>
          <w:lang w:val="en-AU"/>
        </w:rPr>
        <w:t>for enforcement</w:t>
      </w:r>
      <w:r w:rsidR="006B6C82">
        <w:rPr>
          <w:rFonts w:cs="Arial"/>
          <w:lang w:val="en-AU"/>
        </w:rPr>
        <w:t xml:space="preserve"> and </w:t>
      </w:r>
      <w:r w:rsidR="0063348A">
        <w:rPr>
          <w:rFonts w:cs="Arial"/>
          <w:lang w:val="en-AU"/>
        </w:rPr>
        <w:t>i</w:t>
      </w:r>
      <w:r w:rsidR="007D74EB">
        <w:rPr>
          <w:rFonts w:cs="Arial"/>
          <w:lang w:val="en-AU"/>
        </w:rPr>
        <w:t>ndustry.</w:t>
      </w:r>
    </w:p>
    <w:p w14:paraId="46BE20CE" w14:textId="472E7670" w:rsidR="00C27581" w:rsidRDefault="00766EA1" w:rsidP="003648E6">
      <w:pPr>
        <w:spacing w:before="120" w:after="120"/>
        <w:rPr>
          <w:rFonts w:cs="Arial"/>
          <w:lang w:val="en-AU"/>
        </w:rPr>
      </w:pPr>
      <w:r>
        <w:t xml:space="preserve">Further, </w:t>
      </w:r>
      <w:r w:rsidR="00F302A4" w:rsidRPr="001D2111">
        <w:t>if the presence of GOS</w:t>
      </w:r>
      <w:r w:rsidR="00F302A4">
        <w:t xml:space="preserve"> or IMO</w:t>
      </w:r>
      <w:r w:rsidR="00F302A4" w:rsidRPr="001D2111">
        <w:t xml:space="preserve"> was known or suspected, manufacturers and analysts would be required to adopt the current system of using multiple methods </w:t>
      </w:r>
      <w:r w:rsidR="00744808">
        <w:t xml:space="preserve">(including managing the issue of double counting), </w:t>
      </w:r>
      <w:r w:rsidR="00F302A4" w:rsidRPr="001D2111">
        <w:t>which is less comprehensive and efficient</w:t>
      </w:r>
      <w:r>
        <w:rPr>
          <w:rStyle w:val="FootnoteReference"/>
        </w:rPr>
        <w:footnoteReference w:id="15"/>
      </w:r>
      <w:r w:rsidR="00D5198F">
        <w:t>.</w:t>
      </w:r>
      <w:r w:rsidR="00F302A4" w:rsidRPr="001D2111">
        <w:t xml:space="preserve"> </w:t>
      </w:r>
      <w:r w:rsidR="00F302A4">
        <w:t>Additionally, e</w:t>
      </w:r>
      <w:r w:rsidR="00F302A4" w:rsidRPr="001D2111">
        <w:t xml:space="preserve">nforcement agencies would </w:t>
      </w:r>
      <w:r w:rsidR="00F302A4">
        <w:t>be required to enforce this</w:t>
      </w:r>
      <w:r>
        <w:t xml:space="preserve"> restriction </w:t>
      </w:r>
      <w:r w:rsidR="00F302A4">
        <w:t>by</w:t>
      </w:r>
      <w:r w:rsidR="00F302A4" w:rsidRPr="001D2111">
        <w:t xml:space="preserve"> monitor</w:t>
      </w:r>
      <w:r w:rsidR="00F302A4">
        <w:t>ing</w:t>
      </w:r>
      <w:r w:rsidR="00F302A4" w:rsidRPr="001D2111">
        <w:t xml:space="preserve"> </w:t>
      </w:r>
      <w:r w:rsidR="00330F04">
        <w:t xml:space="preserve">the </w:t>
      </w:r>
      <w:r w:rsidR="00F302A4">
        <w:t xml:space="preserve">specific </w:t>
      </w:r>
      <w:r w:rsidR="00F302A4" w:rsidRPr="001D2111">
        <w:t>analytical methods used</w:t>
      </w:r>
      <w:r w:rsidR="00F302A4">
        <w:t xml:space="preserve"> for </w:t>
      </w:r>
      <w:r>
        <w:t xml:space="preserve">determining </w:t>
      </w:r>
      <w:r w:rsidR="00F302A4">
        <w:t>total dietary fibre</w:t>
      </w:r>
      <w:r>
        <w:t xml:space="preserve"> in the entire food supply. This would be resource intensive and not a proportionate respons</w:t>
      </w:r>
      <w:r w:rsidR="004A52CD">
        <w:t>e to the identified limitation.</w:t>
      </w:r>
    </w:p>
    <w:p w14:paraId="6CC8305B" w14:textId="63169550" w:rsidR="00411095" w:rsidRPr="005571C8" w:rsidRDefault="004A52CD" w:rsidP="004A52CD">
      <w:pPr>
        <w:rPr>
          <w:lang w:val="en-AU"/>
        </w:rPr>
      </w:pPr>
      <w:bookmarkStart w:id="102" w:name="_Toc67321512"/>
      <w:bookmarkStart w:id="103" w:name="_Toc69987920"/>
      <w:bookmarkStart w:id="104" w:name="_Toc70002642"/>
      <w:bookmarkEnd w:id="100"/>
      <w:r w:rsidRPr="004A52CD">
        <w:rPr>
          <w:lang w:val="en-AU"/>
        </w:rPr>
        <w:t>FSANZ identified that an existing permitted method</w:t>
      </w:r>
      <w:r w:rsidR="00E529B4">
        <w:rPr>
          <w:lang w:val="en-AU"/>
        </w:rPr>
        <w:t xml:space="preserve"> in the Code</w:t>
      </w:r>
      <w:r w:rsidRPr="004A52CD">
        <w:rPr>
          <w:lang w:val="en-AU"/>
        </w:rPr>
        <w:t xml:space="preserve">, AOAC 2001.03, for measuring total dietary fibre (including resistant maltodextrin) also analyses GOS and IMO as part of the LMWDF fraction. This method is permitted unrestricted and FSANZ noted it was intended for the specific analysis of samples containing resistant maltodextrin. No issues with the use of this method, or it’s presented values, have been raised with FSANZ to date in the past. The proposed permission for </w:t>
      </w:r>
      <w:r w:rsidR="00E529B4">
        <w:rPr>
          <w:lang w:val="en-AU"/>
        </w:rPr>
        <w:t>p</w:t>
      </w:r>
      <w:r w:rsidR="00E529B4" w:rsidRPr="004A52CD">
        <w:rPr>
          <w:lang w:val="en-AU"/>
        </w:rPr>
        <w:t xml:space="preserve">ermitting </w:t>
      </w:r>
      <w:r w:rsidRPr="004A52CD">
        <w:rPr>
          <w:lang w:val="en-AU"/>
        </w:rPr>
        <w:t xml:space="preserve">AOAC 2017.16 </w:t>
      </w:r>
      <w:r w:rsidR="00805FDB">
        <w:rPr>
          <w:lang w:val="en-AU"/>
        </w:rPr>
        <w:t>is</w:t>
      </w:r>
      <w:r w:rsidR="00805FDB" w:rsidRPr="004A52CD">
        <w:rPr>
          <w:lang w:val="en-AU"/>
        </w:rPr>
        <w:t xml:space="preserve"> </w:t>
      </w:r>
      <w:r w:rsidRPr="004A52CD">
        <w:rPr>
          <w:lang w:val="en-AU"/>
        </w:rPr>
        <w:t>not</w:t>
      </w:r>
      <w:r w:rsidR="00805FDB">
        <w:rPr>
          <w:lang w:val="en-AU"/>
        </w:rPr>
        <w:t xml:space="preserve"> expected to</w:t>
      </w:r>
      <w:r w:rsidRPr="004A52CD">
        <w:rPr>
          <w:lang w:val="en-AU"/>
        </w:rPr>
        <w:t xml:space="preserve"> impact the current permission for AOAC 2001.03 in the Code.</w:t>
      </w:r>
    </w:p>
    <w:p w14:paraId="1207291A" w14:textId="0C3A0E37" w:rsidR="00411095" w:rsidRPr="00645AD0" w:rsidRDefault="0010195C" w:rsidP="005571C8">
      <w:pPr>
        <w:pStyle w:val="Heading3"/>
        <w:numPr>
          <w:ilvl w:val="2"/>
          <w:numId w:val="23"/>
        </w:numPr>
        <w:rPr>
          <w:lang w:val="en-AU"/>
        </w:rPr>
      </w:pPr>
      <w:r w:rsidRPr="0010195C">
        <w:rPr>
          <w:lang w:val="en-AU"/>
        </w:rPr>
        <w:t xml:space="preserve"> </w:t>
      </w:r>
      <w:bookmarkStart w:id="105" w:name="_Toc86240841"/>
      <w:r w:rsidRPr="00645AD0">
        <w:rPr>
          <w:lang w:val="en-AU"/>
        </w:rPr>
        <w:t>AOAC 2017.16 adoption by Codex</w:t>
      </w:r>
      <w:bookmarkEnd w:id="105"/>
    </w:p>
    <w:p w14:paraId="777ABBC7" w14:textId="071775CD" w:rsidR="0010195C" w:rsidRPr="005571C8" w:rsidRDefault="0010195C" w:rsidP="005571C8">
      <w:pPr>
        <w:spacing w:before="120" w:after="120"/>
        <w:rPr>
          <w:rFonts w:ascii="Noto Sans" w:hAnsi="Noto Sans" w:cs="Arial"/>
          <w:color w:val="333333"/>
          <w:lang w:val="en"/>
        </w:rPr>
      </w:pPr>
      <w:r w:rsidRPr="00645AD0">
        <w:rPr>
          <w:lang w:val="en-AU" w:eastAsia="en-AU" w:bidi="ar-SA"/>
        </w:rPr>
        <w:t xml:space="preserve">It is acknowledged that, at the time of </w:t>
      </w:r>
      <w:r w:rsidR="00512B29" w:rsidRPr="00645AD0">
        <w:rPr>
          <w:lang w:val="en-AU" w:eastAsia="en-AU" w:bidi="ar-SA"/>
        </w:rPr>
        <w:t>Approval</w:t>
      </w:r>
      <w:r w:rsidRPr="00645AD0">
        <w:rPr>
          <w:lang w:val="en-AU" w:eastAsia="en-AU" w:bidi="ar-SA"/>
        </w:rPr>
        <w:t>, AOAC</w:t>
      </w:r>
      <w:r w:rsidR="00512B29" w:rsidRPr="00645AD0">
        <w:rPr>
          <w:lang w:val="en-AU" w:eastAsia="en-AU" w:bidi="ar-SA"/>
        </w:rPr>
        <w:t xml:space="preserve"> 2017.16</w:t>
      </w:r>
      <w:r w:rsidRPr="00645AD0">
        <w:rPr>
          <w:lang w:val="en-AU" w:eastAsia="en-AU" w:bidi="ar-SA"/>
        </w:rPr>
        <w:t xml:space="preserve"> is pending</w:t>
      </w:r>
      <w:r w:rsidR="00512B29" w:rsidRPr="00645AD0">
        <w:rPr>
          <w:lang w:val="en-AU" w:eastAsia="en-AU" w:bidi="ar-SA"/>
        </w:rPr>
        <w:t xml:space="preserve"> final</w:t>
      </w:r>
      <w:r w:rsidRPr="00645AD0">
        <w:rPr>
          <w:lang w:val="en-AU" w:eastAsia="en-AU" w:bidi="ar-SA"/>
        </w:rPr>
        <w:t xml:space="preserve"> adoption by Codex in early November </w:t>
      </w:r>
      <w:r w:rsidR="00512B29" w:rsidRPr="00645AD0">
        <w:rPr>
          <w:lang w:val="en-AU" w:eastAsia="en-AU" w:bidi="ar-SA"/>
        </w:rPr>
        <w:t xml:space="preserve">2021 </w:t>
      </w:r>
      <w:r w:rsidRPr="00645AD0">
        <w:rPr>
          <w:lang w:val="en-AU" w:eastAsia="en-AU" w:bidi="ar-SA"/>
        </w:rPr>
        <w:t xml:space="preserve">at CAC44 </w:t>
      </w:r>
      <w:r w:rsidRPr="00645AD0">
        <w:t>(CCMAS 2021)</w:t>
      </w:r>
      <w:r w:rsidRPr="00645AD0">
        <w:rPr>
          <w:lang w:val="en-AU" w:eastAsia="en-AU" w:bidi="ar-SA"/>
        </w:rPr>
        <w:t>. AOAC 2017.16 has been support</w:t>
      </w:r>
      <w:r w:rsidR="00512B29" w:rsidRPr="00645AD0">
        <w:rPr>
          <w:lang w:val="en-AU" w:eastAsia="en-AU" w:bidi="ar-SA"/>
        </w:rPr>
        <w:t>ed</w:t>
      </w:r>
      <w:r w:rsidRPr="00645AD0">
        <w:rPr>
          <w:lang w:val="en-AU" w:eastAsia="en-AU" w:bidi="ar-SA"/>
        </w:rPr>
        <w:t xml:space="preserve"> by CCNFSDU, who referred it to </w:t>
      </w:r>
      <w:r w:rsidRPr="00645AD0">
        <w:t>CCMAS which considers, amends (if necessary) and endorses (as appropriate) methods of analysis and sampling proposed by Codex (Commodity) Committees.</w:t>
      </w:r>
    </w:p>
    <w:p w14:paraId="45C253D8" w14:textId="5151E3EA" w:rsidR="005A4DBE" w:rsidRDefault="005A4DBE" w:rsidP="00D40130">
      <w:pPr>
        <w:pStyle w:val="Heading2"/>
        <w:numPr>
          <w:ilvl w:val="1"/>
          <w:numId w:val="23"/>
        </w:numPr>
      </w:pPr>
      <w:bookmarkStart w:id="106" w:name="_Toc86240842"/>
      <w:r>
        <w:t xml:space="preserve">Updating reference to the AOAC Official Methods of </w:t>
      </w:r>
      <w:r>
        <w:lastRenderedPageBreak/>
        <w:t>Analysis edition in the Code</w:t>
      </w:r>
      <w:bookmarkEnd w:id="102"/>
      <w:bookmarkEnd w:id="103"/>
      <w:bookmarkEnd w:id="104"/>
      <w:bookmarkEnd w:id="106"/>
    </w:p>
    <w:p w14:paraId="4B174F7F" w14:textId="419FCB2A" w:rsidR="005A4DBE" w:rsidRDefault="005A4DBE" w:rsidP="003648E6">
      <w:pPr>
        <w:widowControl/>
        <w:spacing w:before="120" w:after="120"/>
        <w:rPr>
          <w:lang w:bidi="ar-SA"/>
        </w:rPr>
      </w:pPr>
      <w:r>
        <w:rPr>
          <w:lang w:bidi="ar-SA"/>
        </w:rPr>
        <w:t xml:space="preserve">To permit AOAC 2017.16 in the Code, it </w:t>
      </w:r>
      <w:r w:rsidR="00CD1994">
        <w:rPr>
          <w:lang w:bidi="ar-SA"/>
        </w:rPr>
        <w:t>i</w:t>
      </w:r>
      <w:r>
        <w:rPr>
          <w:lang w:bidi="ar-SA"/>
        </w:rPr>
        <w:t>s necessary to amend subsection S11—4(4), which currently only refers to the 18</w:t>
      </w:r>
      <w:r w:rsidRPr="004836A5">
        <w:rPr>
          <w:vertAlign w:val="superscript"/>
          <w:lang w:bidi="ar-SA"/>
        </w:rPr>
        <w:t>th</w:t>
      </w:r>
      <w:r>
        <w:rPr>
          <w:lang w:bidi="ar-SA"/>
        </w:rPr>
        <w:t xml:space="preserve"> edition of AOAC Official Methods of Analysis (2005), to refer instead to the 21</w:t>
      </w:r>
      <w:r w:rsidRPr="004836A5">
        <w:rPr>
          <w:vertAlign w:val="superscript"/>
          <w:lang w:bidi="ar-SA"/>
        </w:rPr>
        <w:t>st</w:t>
      </w:r>
      <w:r>
        <w:rPr>
          <w:lang w:bidi="ar-SA"/>
        </w:rPr>
        <w:t xml:space="preserve"> Edition (AOAC, 2019). An amendment </w:t>
      </w:r>
      <w:r w:rsidR="00CD1994">
        <w:rPr>
          <w:lang w:bidi="ar-SA"/>
        </w:rPr>
        <w:t>i</w:t>
      </w:r>
      <w:r>
        <w:rPr>
          <w:lang w:bidi="ar-SA"/>
        </w:rPr>
        <w:t>s needed because the 18</w:t>
      </w:r>
      <w:r w:rsidRPr="004836A5">
        <w:rPr>
          <w:vertAlign w:val="superscript"/>
          <w:lang w:bidi="ar-SA"/>
        </w:rPr>
        <w:t>th</w:t>
      </w:r>
      <w:r>
        <w:rPr>
          <w:lang w:bidi="ar-SA"/>
        </w:rPr>
        <w:t xml:space="preserve"> edition does not include AOAC 2017.16.</w:t>
      </w:r>
      <w:r w:rsidRPr="001A5EDB">
        <w:rPr>
          <w:lang w:bidi="ar-SA"/>
        </w:rPr>
        <w:t xml:space="preserve"> </w:t>
      </w:r>
    </w:p>
    <w:p w14:paraId="5851A6A8" w14:textId="4839E7A2" w:rsidR="005A4DBE" w:rsidRDefault="005A4DBE" w:rsidP="003648E6">
      <w:pPr>
        <w:widowControl/>
        <w:spacing w:before="120" w:after="120"/>
        <w:rPr>
          <w:lang w:bidi="ar-SA"/>
        </w:rPr>
      </w:pPr>
      <w:r>
        <w:rPr>
          <w:lang w:bidi="ar-SA"/>
        </w:rPr>
        <w:t>FSANZ note</w:t>
      </w:r>
      <w:r w:rsidR="00CD1994">
        <w:rPr>
          <w:lang w:bidi="ar-SA"/>
        </w:rPr>
        <w:t>d</w:t>
      </w:r>
      <w:r>
        <w:rPr>
          <w:lang w:bidi="ar-SA"/>
        </w:rPr>
        <w:t xml:space="preserve"> AOAC 2017.16 </w:t>
      </w:r>
      <w:r w:rsidR="00CD1994">
        <w:rPr>
          <w:lang w:bidi="ar-SA"/>
        </w:rPr>
        <w:t>wa</w:t>
      </w:r>
      <w:r>
        <w:rPr>
          <w:lang w:bidi="ar-SA"/>
        </w:rPr>
        <w:t>s available in the printed 21</w:t>
      </w:r>
      <w:r w:rsidRPr="003F7D15">
        <w:rPr>
          <w:vertAlign w:val="superscript"/>
          <w:lang w:bidi="ar-SA"/>
        </w:rPr>
        <w:t>st</w:t>
      </w:r>
      <w:r>
        <w:rPr>
          <w:lang w:bidi="ar-SA"/>
        </w:rPr>
        <w:t xml:space="preserve"> edition (2019) as ‘first action’ status. The online 21</w:t>
      </w:r>
      <w:r w:rsidRPr="003F7D15">
        <w:rPr>
          <w:vertAlign w:val="superscript"/>
          <w:lang w:bidi="ar-SA"/>
        </w:rPr>
        <w:t>st</w:t>
      </w:r>
      <w:r>
        <w:rPr>
          <w:lang w:bidi="ar-SA"/>
        </w:rPr>
        <w:t xml:space="preserve"> edition contain</w:t>
      </w:r>
      <w:r w:rsidR="00CD1994">
        <w:rPr>
          <w:lang w:bidi="ar-SA"/>
        </w:rPr>
        <w:t>ed</w:t>
      </w:r>
      <w:r>
        <w:rPr>
          <w:lang w:bidi="ar-SA"/>
        </w:rPr>
        <w:t xml:space="preserve"> AOAC 2017.16 as ‘final action’. FSANZ understands that future print revisions of the 21</w:t>
      </w:r>
      <w:r w:rsidRPr="003F7D15">
        <w:rPr>
          <w:vertAlign w:val="superscript"/>
          <w:lang w:bidi="ar-SA"/>
        </w:rPr>
        <w:t>st</w:t>
      </w:r>
      <w:r>
        <w:rPr>
          <w:lang w:bidi="ar-SA"/>
        </w:rPr>
        <w:t xml:space="preserve"> edition (2019) will list AOAC 2017.16 as ‘final action’.</w:t>
      </w:r>
    </w:p>
    <w:p w14:paraId="4F736DF8" w14:textId="1484DF00" w:rsidR="005A4DBE" w:rsidRDefault="00F576EB" w:rsidP="003648E6">
      <w:pPr>
        <w:widowControl/>
        <w:spacing w:before="120" w:after="120"/>
        <w:rPr>
          <w:lang w:bidi="ar-SA"/>
        </w:rPr>
      </w:pPr>
      <w:r>
        <w:rPr>
          <w:lang w:bidi="ar-SA"/>
        </w:rPr>
        <w:t>T</w:t>
      </w:r>
      <w:r w:rsidR="005A4DBE">
        <w:rPr>
          <w:lang w:bidi="ar-SA"/>
        </w:rPr>
        <w:t xml:space="preserve">o update the reference, it </w:t>
      </w:r>
      <w:r w:rsidR="003953BF">
        <w:rPr>
          <w:lang w:bidi="ar-SA"/>
        </w:rPr>
        <w:t>wa</w:t>
      </w:r>
      <w:r w:rsidR="005A4DBE">
        <w:rPr>
          <w:lang w:bidi="ar-SA"/>
        </w:rPr>
        <w:t xml:space="preserve">s important to know if any change to </w:t>
      </w:r>
      <w:r>
        <w:rPr>
          <w:lang w:bidi="ar-SA"/>
        </w:rPr>
        <w:t xml:space="preserve">other </w:t>
      </w:r>
      <w:r w:rsidR="005A4DBE">
        <w:rPr>
          <w:lang w:bidi="ar-SA"/>
        </w:rPr>
        <w:t>methods</w:t>
      </w:r>
      <w:r>
        <w:rPr>
          <w:lang w:bidi="ar-SA"/>
        </w:rPr>
        <w:t xml:space="preserve"> permitted in the Code</w:t>
      </w:r>
      <w:r w:rsidR="005A4DBE">
        <w:rPr>
          <w:lang w:bidi="ar-SA"/>
        </w:rPr>
        <w:t xml:space="preserve"> had occurred between editions, and to assess the impact of these. </w:t>
      </w:r>
    </w:p>
    <w:p w14:paraId="1A4EB55D" w14:textId="19F6970C" w:rsidR="005A4DBE" w:rsidRDefault="005A4DBE" w:rsidP="003648E6">
      <w:pPr>
        <w:widowControl/>
        <w:spacing w:before="120" w:after="120"/>
        <w:rPr>
          <w:lang w:bidi="ar-SA"/>
        </w:rPr>
      </w:pPr>
      <w:r>
        <w:rPr>
          <w:lang w:bidi="ar-SA"/>
        </w:rPr>
        <w:t xml:space="preserve">FSANZ determined that the only change between editions occurred in 2013 and relates to AOAC 997.08 – </w:t>
      </w:r>
      <w:r w:rsidRPr="004D60AC">
        <w:rPr>
          <w:rFonts w:cs="Arial"/>
          <w:szCs w:val="22"/>
        </w:rPr>
        <w:t xml:space="preserve">inulin and </w:t>
      </w:r>
      <w:r>
        <w:rPr>
          <w:rFonts w:cs="Arial"/>
          <w:szCs w:val="22"/>
        </w:rPr>
        <w:t>FOS</w:t>
      </w:r>
      <w:r>
        <w:rPr>
          <w:lang w:bidi="ar-SA"/>
        </w:rPr>
        <w:t>. The 18</w:t>
      </w:r>
      <w:r w:rsidRPr="00655EC5">
        <w:rPr>
          <w:vertAlign w:val="superscript"/>
          <w:lang w:bidi="ar-SA"/>
        </w:rPr>
        <w:t>th</w:t>
      </w:r>
      <w:r>
        <w:rPr>
          <w:lang w:bidi="ar-SA"/>
        </w:rPr>
        <w:t xml:space="preserve"> edition allowed analysts the choice of either a two- or three-enzyme solution as part of the hydrolysis process. The two enzyme solution did not completely hydrolyse levan (i.e. a class of fructans) whereas the third solution</w:t>
      </w:r>
      <w:r w:rsidRPr="00832331">
        <w:rPr>
          <w:lang w:bidi="ar-SA"/>
        </w:rPr>
        <w:t xml:space="preserve"> more completely hydrolyse</w:t>
      </w:r>
      <w:r>
        <w:rPr>
          <w:lang w:bidi="ar-SA"/>
        </w:rPr>
        <w:t xml:space="preserve">s the </w:t>
      </w:r>
      <w:r w:rsidRPr="00832331">
        <w:rPr>
          <w:lang w:bidi="ar-SA"/>
        </w:rPr>
        <w:t>levan</w:t>
      </w:r>
      <w:r>
        <w:rPr>
          <w:lang w:bidi="ar-SA"/>
        </w:rPr>
        <w:t>. The 21</w:t>
      </w:r>
      <w:r w:rsidRPr="0071247F">
        <w:rPr>
          <w:vertAlign w:val="superscript"/>
          <w:lang w:bidi="ar-SA"/>
        </w:rPr>
        <w:t>st</w:t>
      </w:r>
      <w:r>
        <w:rPr>
          <w:lang w:bidi="ar-SA"/>
        </w:rPr>
        <w:t xml:space="preserve"> edition (AOAC, 2019) refer</w:t>
      </w:r>
      <w:r w:rsidR="003953BF">
        <w:rPr>
          <w:lang w:bidi="ar-SA"/>
        </w:rPr>
        <w:t>red</w:t>
      </w:r>
      <w:r>
        <w:rPr>
          <w:lang w:bidi="ar-SA"/>
        </w:rPr>
        <w:t xml:space="preserve"> only to the three</w:t>
      </w:r>
      <w:r w:rsidR="00F576EB">
        <w:rPr>
          <w:lang w:bidi="ar-SA"/>
        </w:rPr>
        <w:t>-</w:t>
      </w:r>
      <w:r>
        <w:rPr>
          <w:lang w:bidi="ar-SA"/>
        </w:rPr>
        <w:t>enzyme solution.</w:t>
      </w:r>
      <w:r w:rsidRPr="00832331">
        <w:rPr>
          <w:lang w:bidi="ar-SA"/>
        </w:rPr>
        <w:t xml:space="preserve"> </w:t>
      </w:r>
      <w:r>
        <w:rPr>
          <w:lang w:bidi="ar-SA"/>
        </w:rPr>
        <w:t xml:space="preserve"> </w:t>
      </w:r>
    </w:p>
    <w:p w14:paraId="2BD2518A" w14:textId="2B256701" w:rsidR="00EE5B9C" w:rsidRDefault="005A4DBE" w:rsidP="003648E6">
      <w:pPr>
        <w:widowControl/>
        <w:spacing w:before="120" w:after="120"/>
        <w:rPr>
          <w:lang w:bidi="ar-SA"/>
        </w:rPr>
      </w:pPr>
      <w:r>
        <w:rPr>
          <w:lang w:bidi="ar-SA"/>
        </w:rPr>
        <w:t>FSANZ understands that certain inulin and FOS data measured by AOAC 997.08 and using the two</w:t>
      </w:r>
      <w:r w:rsidR="00F576EB">
        <w:rPr>
          <w:lang w:bidi="ar-SA"/>
        </w:rPr>
        <w:t>-</w:t>
      </w:r>
      <w:r>
        <w:rPr>
          <w:lang w:bidi="ar-SA"/>
        </w:rPr>
        <w:t xml:space="preserve">enzyme solution could exist in food databases used for label declaration. These data would technically become non-compliant with the Code if the AOAC edition were to be updated. </w:t>
      </w:r>
    </w:p>
    <w:p w14:paraId="58906456" w14:textId="3C55B24C" w:rsidR="005A4DBE" w:rsidRDefault="00EE5B9C" w:rsidP="003648E6">
      <w:pPr>
        <w:widowControl/>
        <w:spacing w:before="120" w:after="120"/>
        <w:rPr>
          <w:lang w:bidi="ar-SA"/>
        </w:rPr>
      </w:pPr>
      <w:r>
        <w:rPr>
          <w:lang w:bidi="ar-SA"/>
        </w:rPr>
        <w:t xml:space="preserve">During the CFS, FSANZ </w:t>
      </w:r>
      <w:r w:rsidR="003953BF">
        <w:rPr>
          <w:lang w:bidi="ar-SA"/>
        </w:rPr>
        <w:t xml:space="preserve">sought available </w:t>
      </w:r>
      <w:r>
        <w:rPr>
          <w:lang w:bidi="ar-SA"/>
        </w:rPr>
        <w:t xml:space="preserve">information or data on products </w:t>
      </w:r>
      <w:r w:rsidR="00656221">
        <w:rPr>
          <w:lang w:bidi="ar-SA"/>
        </w:rPr>
        <w:t xml:space="preserve">that had been measured using AOAC 997.08 prior to the change in 2013. </w:t>
      </w:r>
      <w:r w:rsidR="007D5F66">
        <w:rPr>
          <w:lang w:bidi="ar-SA"/>
        </w:rPr>
        <w:t>Two</w:t>
      </w:r>
      <w:r w:rsidR="00656221">
        <w:rPr>
          <w:lang w:bidi="ar-SA"/>
        </w:rPr>
        <w:t xml:space="preserve"> submitters responded indicating they were not aware of </w:t>
      </w:r>
      <w:r w:rsidR="003953BF">
        <w:rPr>
          <w:lang w:bidi="ar-SA"/>
        </w:rPr>
        <w:t xml:space="preserve">any </w:t>
      </w:r>
      <w:r w:rsidR="00656221">
        <w:rPr>
          <w:lang w:bidi="ar-SA"/>
        </w:rPr>
        <w:t>existing data, however FSANZ did receive advice from an analyst</w:t>
      </w:r>
      <w:r w:rsidR="00656221">
        <w:rPr>
          <w:rStyle w:val="FootnoteReference"/>
          <w:lang w:bidi="ar-SA"/>
        </w:rPr>
        <w:footnoteReference w:id="16"/>
      </w:r>
      <w:r w:rsidR="00656221">
        <w:rPr>
          <w:lang w:bidi="ar-SA"/>
        </w:rPr>
        <w:t xml:space="preserve"> suggesting AOAC 997.08 is not used in Australia </w:t>
      </w:r>
      <w:r w:rsidR="00656221" w:rsidRPr="00656221">
        <w:rPr>
          <w:lang w:bidi="ar-SA"/>
        </w:rPr>
        <w:t>as it require</w:t>
      </w:r>
      <w:r w:rsidR="003953BF">
        <w:rPr>
          <w:lang w:bidi="ar-SA"/>
        </w:rPr>
        <w:t>d</w:t>
      </w:r>
      <w:r w:rsidR="00656221" w:rsidRPr="00656221">
        <w:rPr>
          <w:lang w:bidi="ar-SA"/>
        </w:rPr>
        <w:t xml:space="preserve"> ion exchange chromatograph, and no labs</w:t>
      </w:r>
      <w:r w:rsidR="00A84AA5">
        <w:rPr>
          <w:lang w:bidi="ar-SA"/>
        </w:rPr>
        <w:t xml:space="preserve"> performed this</w:t>
      </w:r>
      <w:r w:rsidR="00656221" w:rsidRPr="00656221">
        <w:rPr>
          <w:lang w:bidi="ar-SA"/>
        </w:rPr>
        <w:t>.</w:t>
      </w:r>
      <w:r w:rsidR="00656221">
        <w:rPr>
          <w:lang w:bidi="ar-SA"/>
        </w:rPr>
        <w:t xml:space="preserve"> No information on the method’s use in New Zealand was provided. </w:t>
      </w:r>
    </w:p>
    <w:p w14:paraId="49CE8A2E" w14:textId="66488E04" w:rsidR="00656221" w:rsidRDefault="00656221" w:rsidP="003648E6">
      <w:pPr>
        <w:widowControl/>
        <w:spacing w:before="120" w:after="120"/>
        <w:rPr>
          <w:lang w:bidi="ar-SA"/>
        </w:rPr>
      </w:pPr>
      <w:r>
        <w:rPr>
          <w:lang w:bidi="ar-SA"/>
        </w:rPr>
        <w:t>FSANZ conclude</w:t>
      </w:r>
      <w:r w:rsidR="00A84AA5">
        <w:rPr>
          <w:lang w:bidi="ar-SA"/>
        </w:rPr>
        <w:t>d</w:t>
      </w:r>
      <w:r>
        <w:rPr>
          <w:lang w:bidi="ar-SA"/>
        </w:rPr>
        <w:t>, based on available information</w:t>
      </w:r>
      <w:r w:rsidR="007D5F66">
        <w:rPr>
          <w:lang w:bidi="ar-SA"/>
        </w:rPr>
        <w:t>,</w:t>
      </w:r>
      <w:r>
        <w:rPr>
          <w:lang w:bidi="ar-SA"/>
        </w:rPr>
        <w:t xml:space="preserve"> it </w:t>
      </w:r>
      <w:r w:rsidR="00A84AA5">
        <w:rPr>
          <w:lang w:bidi="ar-SA"/>
        </w:rPr>
        <w:t>i</w:t>
      </w:r>
      <w:r>
        <w:rPr>
          <w:lang w:bidi="ar-SA"/>
        </w:rPr>
        <w:t>s appropriate to amend the Code with the 21</w:t>
      </w:r>
      <w:r w:rsidRPr="00656221">
        <w:rPr>
          <w:vertAlign w:val="superscript"/>
          <w:lang w:bidi="ar-SA"/>
        </w:rPr>
        <w:t>st</w:t>
      </w:r>
      <w:r>
        <w:rPr>
          <w:lang w:bidi="ar-SA"/>
        </w:rPr>
        <w:t xml:space="preserve"> edition</w:t>
      </w:r>
      <w:r w:rsidR="00583D9E">
        <w:rPr>
          <w:lang w:bidi="ar-SA"/>
        </w:rPr>
        <w:t xml:space="preserve">, which is necessary to ensure a permission for AOAC </w:t>
      </w:r>
      <w:r w:rsidR="00552010">
        <w:rPr>
          <w:lang w:bidi="ar-SA"/>
        </w:rPr>
        <w:t xml:space="preserve">2017.16 </w:t>
      </w:r>
      <w:r w:rsidR="00583D9E">
        <w:rPr>
          <w:lang w:bidi="ar-SA"/>
        </w:rPr>
        <w:t>is compliant</w:t>
      </w:r>
      <w:r w:rsidR="00552010">
        <w:rPr>
          <w:lang w:bidi="ar-SA"/>
        </w:rPr>
        <w:t xml:space="preserve"> with the Code</w:t>
      </w:r>
      <w:r>
        <w:rPr>
          <w:lang w:bidi="ar-SA"/>
        </w:rPr>
        <w:t>.</w:t>
      </w:r>
    </w:p>
    <w:p w14:paraId="40A14604" w14:textId="2B7DFBF7" w:rsidR="00EE5B9C" w:rsidRDefault="00EE5B9C" w:rsidP="00D40130">
      <w:pPr>
        <w:pStyle w:val="Heading2"/>
        <w:numPr>
          <w:ilvl w:val="1"/>
          <w:numId w:val="23"/>
        </w:numPr>
        <w:rPr>
          <w:lang w:val="en-AU"/>
        </w:rPr>
      </w:pPr>
      <w:bookmarkStart w:id="107" w:name="_Toc86240843"/>
      <w:r>
        <w:rPr>
          <w:lang w:val="en-AU"/>
        </w:rPr>
        <w:t>Risk Management Conclusion</w:t>
      </w:r>
      <w:bookmarkEnd w:id="107"/>
    </w:p>
    <w:p w14:paraId="5635BF79" w14:textId="1C4C3879" w:rsidR="006970A5" w:rsidRDefault="00A529DC" w:rsidP="003648E6">
      <w:pPr>
        <w:spacing w:before="120" w:after="120"/>
        <w:rPr>
          <w:rFonts w:cs="Arial"/>
          <w:lang w:val="en-AU"/>
        </w:rPr>
      </w:pPr>
      <w:r>
        <w:rPr>
          <w:rFonts w:cs="Arial"/>
          <w:lang w:val="en-AU"/>
        </w:rPr>
        <w:t xml:space="preserve">In determining the most proportionate regulatory decision, </w:t>
      </w:r>
      <w:r w:rsidR="00EE5B9C">
        <w:rPr>
          <w:rFonts w:cs="Arial"/>
          <w:lang w:val="en-AU"/>
        </w:rPr>
        <w:t xml:space="preserve">FSANZ weighed the </w:t>
      </w:r>
      <w:r w:rsidR="00096AA8">
        <w:rPr>
          <w:rFonts w:cs="Arial"/>
          <w:lang w:val="en-AU"/>
        </w:rPr>
        <w:t>limitation</w:t>
      </w:r>
      <w:r w:rsidR="00EE5B9C">
        <w:rPr>
          <w:rFonts w:cs="Arial"/>
          <w:lang w:val="en-AU"/>
        </w:rPr>
        <w:t xml:space="preserve"> of a small overestimation of </w:t>
      </w:r>
      <w:r w:rsidR="00656221">
        <w:rPr>
          <w:rFonts w:cs="Arial"/>
          <w:lang w:val="en-AU"/>
        </w:rPr>
        <w:t xml:space="preserve">total </w:t>
      </w:r>
      <w:r w:rsidR="00EE5B9C">
        <w:rPr>
          <w:rFonts w:cs="Arial"/>
          <w:lang w:val="en-AU"/>
        </w:rPr>
        <w:t>dietary fibre</w:t>
      </w:r>
      <w:r w:rsidR="00320415">
        <w:rPr>
          <w:rFonts w:cs="Arial"/>
          <w:lang w:val="en-AU"/>
        </w:rPr>
        <w:t xml:space="preserve"> (</w:t>
      </w:r>
      <w:r w:rsidR="00CB6F7F">
        <w:rPr>
          <w:rFonts w:cs="Arial"/>
          <w:lang w:val="en-AU"/>
        </w:rPr>
        <w:t>based on</w:t>
      </w:r>
      <w:r w:rsidR="00320415">
        <w:rPr>
          <w:rFonts w:cs="Arial"/>
          <w:lang w:val="en-AU"/>
        </w:rPr>
        <w:t xml:space="preserve"> the definition</w:t>
      </w:r>
      <w:r w:rsidR="006970A5">
        <w:rPr>
          <w:rFonts w:cs="Arial"/>
          <w:lang w:val="en-AU"/>
        </w:rPr>
        <w:t xml:space="preserve"> of </w:t>
      </w:r>
      <w:r w:rsidR="003F4E4A">
        <w:rPr>
          <w:rFonts w:cs="Arial"/>
          <w:lang w:val="en-AU"/>
        </w:rPr>
        <w:t xml:space="preserve">dietary </w:t>
      </w:r>
      <w:r w:rsidR="006970A5">
        <w:rPr>
          <w:rFonts w:cs="Arial"/>
          <w:lang w:val="en-AU"/>
        </w:rPr>
        <w:t>fibre</w:t>
      </w:r>
      <w:r w:rsidR="00320415">
        <w:rPr>
          <w:rFonts w:cs="Arial"/>
          <w:lang w:val="en-AU"/>
        </w:rPr>
        <w:t xml:space="preserve"> in the Code)</w:t>
      </w:r>
      <w:r w:rsidR="00EE5B9C">
        <w:rPr>
          <w:rFonts w:cs="Arial"/>
          <w:lang w:val="en-AU"/>
        </w:rPr>
        <w:t xml:space="preserve"> </w:t>
      </w:r>
      <w:r w:rsidR="00096AA8">
        <w:rPr>
          <w:rFonts w:cs="Arial"/>
          <w:lang w:val="en-AU"/>
        </w:rPr>
        <w:t>from the measurement of GOS (and IMO)</w:t>
      </w:r>
      <w:r w:rsidR="00EE5B9C">
        <w:rPr>
          <w:rFonts w:cs="Arial"/>
          <w:lang w:val="en-AU"/>
        </w:rPr>
        <w:t xml:space="preserve"> against the</w:t>
      </w:r>
      <w:r w:rsidR="00096AA8">
        <w:rPr>
          <w:rFonts w:cs="Arial"/>
          <w:lang w:val="en-AU"/>
        </w:rPr>
        <w:t xml:space="preserve"> overall benefits of permitting the method</w:t>
      </w:r>
      <w:r w:rsidR="00EE5B9C">
        <w:rPr>
          <w:rFonts w:cs="Arial"/>
          <w:lang w:val="en-AU"/>
        </w:rPr>
        <w:t>:</w:t>
      </w:r>
    </w:p>
    <w:p w14:paraId="472CDBCF" w14:textId="47BA37D6" w:rsidR="00ED218A" w:rsidRPr="00C4701E" w:rsidRDefault="00ED218A" w:rsidP="00D40130">
      <w:pPr>
        <w:pStyle w:val="ListParagraph"/>
        <w:widowControl/>
        <w:numPr>
          <w:ilvl w:val="0"/>
          <w:numId w:val="15"/>
        </w:numPr>
        <w:spacing w:before="120" w:after="120"/>
        <w:contextualSpacing w:val="0"/>
        <w:rPr>
          <w:rFonts w:cs="Arial"/>
        </w:rPr>
      </w:pPr>
      <w:r w:rsidRPr="00C4701E">
        <w:rPr>
          <w:rFonts w:cs="Arial"/>
        </w:rPr>
        <w:t>No single method of analysis can comprehensively measure all low and high molecular weight dietary fibre</w:t>
      </w:r>
      <w:r w:rsidR="00FA10C9">
        <w:rPr>
          <w:rFonts w:cs="Arial"/>
        </w:rPr>
        <w:t>s</w:t>
      </w:r>
      <w:r w:rsidRPr="00C4701E">
        <w:rPr>
          <w:rFonts w:cs="Arial"/>
        </w:rPr>
        <w:t xml:space="preserve">. Of all methods </w:t>
      </w:r>
      <w:r w:rsidR="0079710E">
        <w:t>FSANZ has assessed to date</w:t>
      </w:r>
      <w:r w:rsidRPr="00C4701E">
        <w:rPr>
          <w:rFonts w:cs="Arial"/>
        </w:rPr>
        <w:t xml:space="preserve">, AOAC 2017.16 provides the </w:t>
      </w:r>
      <w:r w:rsidR="0079710E">
        <w:t>most comprehensive</w:t>
      </w:r>
      <w:r w:rsidR="0079710E" w:rsidRPr="00C4701E" w:rsidDel="0079710E">
        <w:rPr>
          <w:rFonts w:cs="Arial"/>
        </w:rPr>
        <w:t xml:space="preserve"> </w:t>
      </w:r>
      <w:r w:rsidRPr="00C4701E">
        <w:rPr>
          <w:rFonts w:cs="Arial"/>
        </w:rPr>
        <w:t>dietary fibre value</w:t>
      </w:r>
      <w:r w:rsidR="00591C11">
        <w:rPr>
          <w:rFonts w:cs="Arial"/>
        </w:rPr>
        <w:t>, and resolves some limitations seen in older methods of analysis for dietary fibre</w:t>
      </w:r>
      <w:r w:rsidRPr="00C4701E">
        <w:rPr>
          <w:rFonts w:cs="Arial"/>
        </w:rPr>
        <w:t>.</w:t>
      </w:r>
    </w:p>
    <w:p w14:paraId="3A373557" w14:textId="3FB32557" w:rsidR="004239DD" w:rsidRDefault="006970A5" w:rsidP="00D40130">
      <w:pPr>
        <w:pStyle w:val="ListParagraph"/>
        <w:widowControl/>
        <w:numPr>
          <w:ilvl w:val="0"/>
          <w:numId w:val="15"/>
        </w:numPr>
        <w:spacing w:before="120" w:after="120"/>
        <w:contextualSpacing w:val="0"/>
        <w:rPr>
          <w:rFonts w:cs="Arial"/>
        </w:rPr>
      </w:pPr>
      <w:r>
        <w:rPr>
          <w:rFonts w:cs="Arial"/>
        </w:rPr>
        <w:t xml:space="preserve">Available </w:t>
      </w:r>
      <w:r w:rsidR="00777ABA">
        <w:rPr>
          <w:rFonts w:cs="Arial"/>
        </w:rPr>
        <w:t>evidence suggest</w:t>
      </w:r>
      <w:r>
        <w:rPr>
          <w:rFonts w:cs="Arial"/>
        </w:rPr>
        <w:t>s</w:t>
      </w:r>
      <w:r w:rsidR="00777ABA">
        <w:rPr>
          <w:rFonts w:cs="Arial"/>
        </w:rPr>
        <w:t xml:space="preserve"> that GOS (and IMO) </w:t>
      </w:r>
      <w:r>
        <w:rPr>
          <w:rFonts w:cs="Arial"/>
        </w:rPr>
        <w:t xml:space="preserve">is </w:t>
      </w:r>
      <w:r w:rsidR="00777ABA">
        <w:rPr>
          <w:rFonts w:cs="Arial"/>
        </w:rPr>
        <w:t xml:space="preserve">added to a small amount of foods in Australia and New Zealand. </w:t>
      </w:r>
      <w:r w:rsidR="007D74EB">
        <w:rPr>
          <w:rFonts w:cs="Arial"/>
        </w:rPr>
        <w:t>The cost and purpose of addition of these (i.e. as prebiotics (for GOS and IMO) and a low calorie sweetener (for IMO)</w:t>
      </w:r>
      <w:r w:rsidR="00552010">
        <w:rPr>
          <w:rFonts w:cs="Arial"/>
        </w:rPr>
        <w:t>,</w:t>
      </w:r>
      <w:r w:rsidR="007D74EB">
        <w:rPr>
          <w:rFonts w:cs="Arial"/>
        </w:rPr>
        <w:t xml:space="preserve"> rather than dietary fibre) are limiting factors </w:t>
      </w:r>
      <w:r w:rsidR="00552010">
        <w:rPr>
          <w:rFonts w:cs="Arial"/>
        </w:rPr>
        <w:t>controlling</w:t>
      </w:r>
      <w:r w:rsidR="007D74EB">
        <w:rPr>
          <w:rFonts w:cs="Arial"/>
        </w:rPr>
        <w:t xml:space="preserve"> the levels added by industry.</w:t>
      </w:r>
    </w:p>
    <w:p w14:paraId="635A7757" w14:textId="77777777" w:rsidR="00CB6F7F" w:rsidRDefault="00CB6F7F" w:rsidP="00D40130">
      <w:pPr>
        <w:pStyle w:val="ListParagraph"/>
        <w:numPr>
          <w:ilvl w:val="0"/>
          <w:numId w:val="15"/>
        </w:numPr>
        <w:spacing w:before="120" w:after="120"/>
        <w:contextualSpacing w:val="0"/>
      </w:pPr>
      <w:r>
        <w:t>It is expected that consumers will continue to be provided with adequate information to enable informed choice about dietary fibre in food products because:</w:t>
      </w:r>
    </w:p>
    <w:p w14:paraId="74A41FC1" w14:textId="2FCA6458" w:rsidR="00117AB8" w:rsidRDefault="00CB6F7F" w:rsidP="00D40130">
      <w:pPr>
        <w:pStyle w:val="ListParagraph"/>
        <w:numPr>
          <w:ilvl w:val="1"/>
          <w:numId w:val="15"/>
        </w:numPr>
        <w:spacing w:before="120" w:after="120"/>
        <w:contextualSpacing w:val="0"/>
      </w:pPr>
      <w:r>
        <w:lastRenderedPageBreak/>
        <w:t>the low levels of GOS (and IMO) in the food supply would not considerably alter food composition data, NIPs for dietary fibre or F point scores for the NPSC;</w:t>
      </w:r>
    </w:p>
    <w:p w14:paraId="7E2D3C37" w14:textId="77777777" w:rsidR="00117AB8" w:rsidRDefault="00CB6F7F" w:rsidP="00D40130">
      <w:pPr>
        <w:pStyle w:val="ListParagraph"/>
        <w:numPr>
          <w:ilvl w:val="1"/>
          <w:numId w:val="15"/>
        </w:numPr>
        <w:spacing w:before="120" w:after="120"/>
        <w:contextualSpacing w:val="0"/>
      </w:pPr>
      <w:r>
        <w:t>existing labelling requirements in the Code would continue to ensure that consumers are provided with adequate information relating to the dietary fibre content of food to enable informed choices</w:t>
      </w:r>
      <w:r w:rsidR="00117AB8">
        <w:t>.</w:t>
      </w:r>
    </w:p>
    <w:p w14:paraId="35E04543" w14:textId="29C68A56" w:rsidR="00ED218A" w:rsidRPr="0091229C" w:rsidRDefault="00ED218A" w:rsidP="00D40130">
      <w:pPr>
        <w:pStyle w:val="ListParagraph"/>
        <w:widowControl/>
        <w:numPr>
          <w:ilvl w:val="0"/>
          <w:numId w:val="15"/>
        </w:numPr>
        <w:spacing w:before="120" w:after="120"/>
        <w:ind w:left="714" w:hanging="357"/>
        <w:contextualSpacing w:val="0"/>
        <w:rPr>
          <w:rFonts w:cs="Arial"/>
        </w:rPr>
      </w:pPr>
      <w:r w:rsidRPr="00117AB8">
        <w:rPr>
          <w:rFonts w:cs="Arial"/>
        </w:rPr>
        <w:t>This is a voluntary method that enables innovation by, and promotes trade opportunities for</w:t>
      </w:r>
      <w:r w:rsidR="00B509D7" w:rsidRPr="0091229C">
        <w:rPr>
          <w:rFonts w:cs="Arial"/>
        </w:rPr>
        <w:t>,</w:t>
      </w:r>
      <w:r w:rsidRPr="0091229C">
        <w:rPr>
          <w:rFonts w:cs="Arial"/>
        </w:rPr>
        <w:t xml:space="preserve"> industry to measure dietary fibre by a single comprehensive method that is accepted internationally.</w:t>
      </w:r>
    </w:p>
    <w:p w14:paraId="512C1321" w14:textId="033B6118" w:rsidR="00ED218A" w:rsidRDefault="00ED218A" w:rsidP="00D40130">
      <w:pPr>
        <w:pStyle w:val="ListParagraph"/>
        <w:widowControl/>
        <w:numPr>
          <w:ilvl w:val="0"/>
          <w:numId w:val="15"/>
        </w:numPr>
        <w:spacing w:before="120" w:after="120"/>
        <w:contextualSpacing w:val="0"/>
        <w:rPr>
          <w:rFonts w:cs="Arial"/>
        </w:rPr>
      </w:pPr>
      <w:r w:rsidRPr="004012CE">
        <w:rPr>
          <w:rFonts w:cs="Arial"/>
        </w:rPr>
        <w:t>Permitting AOAC 2017.16 provides international harmonisation with Codex and</w:t>
      </w:r>
      <w:r w:rsidRPr="00C4701E">
        <w:rPr>
          <w:rFonts w:cs="Arial"/>
        </w:rPr>
        <w:t xml:space="preserve"> countries comparable to Australia and New Zealand such as </w:t>
      </w:r>
      <w:r>
        <w:rPr>
          <w:rFonts w:cs="Arial"/>
        </w:rPr>
        <w:t xml:space="preserve">the </w:t>
      </w:r>
      <w:r w:rsidRPr="00C4701E">
        <w:rPr>
          <w:rFonts w:cs="Arial"/>
        </w:rPr>
        <w:t>United States (US)</w:t>
      </w:r>
      <w:r>
        <w:rPr>
          <w:rFonts w:cs="Arial"/>
        </w:rPr>
        <w:t>,</w:t>
      </w:r>
      <w:r w:rsidRPr="00C4701E">
        <w:rPr>
          <w:rFonts w:cs="Arial"/>
        </w:rPr>
        <w:t xml:space="preserve"> Canada</w:t>
      </w:r>
      <w:r>
        <w:rPr>
          <w:rFonts w:cs="Arial"/>
        </w:rPr>
        <w:t xml:space="preserve">, and countries in </w:t>
      </w:r>
      <w:r w:rsidRPr="00C4701E">
        <w:rPr>
          <w:rFonts w:cs="Arial"/>
        </w:rPr>
        <w:t>the European Union (EU), who have embraced newer methods of analysis for total dietary fibre.</w:t>
      </w:r>
    </w:p>
    <w:p w14:paraId="145C1296" w14:textId="67DF934A" w:rsidR="00A529DC" w:rsidRDefault="00A529DC" w:rsidP="00744808">
      <w:pPr>
        <w:spacing w:before="120" w:after="120"/>
        <w:rPr>
          <w:rFonts w:cs="Arial"/>
        </w:rPr>
      </w:pPr>
      <w:r w:rsidRPr="00A529DC">
        <w:rPr>
          <w:color w:val="000000" w:themeColor="text1"/>
        </w:rPr>
        <w:t>Having considered the submissions and weighed all aspects of the assessment against the</w:t>
      </w:r>
      <w:r w:rsidRPr="00A529DC">
        <w:rPr>
          <w:rFonts w:cs="Arial"/>
          <w:color w:val="000000" w:themeColor="text1"/>
          <w:lang w:val="en-AU"/>
        </w:rPr>
        <w:t xml:space="preserve"> statutory requirements including the Ministerial Policy Guidelines, FSANZ </w:t>
      </w:r>
      <w:r w:rsidR="0049480F">
        <w:rPr>
          <w:rFonts w:cs="Arial"/>
          <w:color w:val="000000" w:themeColor="text1"/>
          <w:lang w:val="en-AU"/>
        </w:rPr>
        <w:t>decided to approve</w:t>
      </w:r>
      <w:r w:rsidR="0049480F" w:rsidRPr="00A529DC">
        <w:rPr>
          <w:rFonts w:cs="Arial"/>
          <w:color w:val="000000" w:themeColor="text1"/>
          <w:lang w:val="en-AU"/>
        </w:rPr>
        <w:t xml:space="preserve"> </w:t>
      </w:r>
      <w:r w:rsidRPr="00A529DC">
        <w:rPr>
          <w:rFonts w:cs="Arial"/>
          <w:color w:val="000000" w:themeColor="text1"/>
          <w:lang w:val="en-AU"/>
        </w:rPr>
        <w:t>a draft variation to the Code</w:t>
      </w:r>
      <w:r w:rsidRPr="00A529DC">
        <w:rPr>
          <w:szCs w:val="22"/>
        </w:rPr>
        <w:t xml:space="preserve"> to permit the </w:t>
      </w:r>
      <w:r w:rsidRPr="00744808">
        <w:rPr>
          <w:rFonts w:cs="Arial"/>
        </w:rPr>
        <w:t xml:space="preserve">voluntary use of AOAC 2017.16 as a method of analysis for total dietary fibre, by amending </w:t>
      </w:r>
      <w:r w:rsidRPr="00744808">
        <w:rPr>
          <w:szCs w:val="22"/>
        </w:rPr>
        <w:t xml:space="preserve">section S11—4 </w:t>
      </w:r>
      <w:r w:rsidRPr="00744808">
        <w:rPr>
          <w:rFonts w:cs="Arial"/>
        </w:rPr>
        <w:t>of the Code.</w:t>
      </w:r>
    </w:p>
    <w:p w14:paraId="1186A6AE" w14:textId="77777777" w:rsidR="001A2773" w:rsidRPr="00645AD0" w:rsidRDefault="001A2773" w:rsidP="001A2773">
      <w:pPr>
        <w:spacing w:before="120" w:after="120"/>
        <w:rPr>
          <w:szCs w:val="22"/>
        </w:rPr>
      </w:pPr>
      <w:r w:rsidRPr="00645AD0">
        <w:rPr>
          <w:szCs w:val="22"/>
        </w:rPr>
        <w:t>FSANZ will continue to consider the following elements relevant to this permission:</w:t>
      </w:r>
    </w:p>
    <w:p w14:paraId="75B511B0" w14:textId="77777777" w:rsidR="001A2773" w:rsidRPr="00645AD0" w:rsidRDefault="001A2773" w:rsidP="001A2773">
      <w:pPr>
        <w:pStyle w:val="ListParagraph"/>
        <w:widowControl/>
        <w:numPr>
          <w:ilvl w:val="0"/>
          <w:numId w:val="26"/>
        </w:numPr>
        <w:spacing w:before="120" w:after="120"/>
        <w:ind w:left="714" w:hanging="357"/>
        <w:contextualSpacing w:val="0"/>
        <w:rPr>
          <w:rFonts w:cs="Arial"/>
          <w:szCs w:val="22"/>
          <w:lang w:bidi="ar-SA"/>
        </w:rPr>
      </w:pPr>
      <w:r w:rsidRPr="00645AD0">
        <w:rPr>
          <w:rFonts w:cs="Arial"/>
        </w:rPr>
        <w:t>Codex’s final decision on the adoption of AOAC 2017.16 in early November 2021;</w:t>
      </w:r>
    </w:p>
    <w:p w14:paraId="3E747AC8" w14:textId="77777777" w:rsidR="001A2773" w:rsidRPr="00645AD0" w:rsidRDefault="001A2773" w:rsidP="001A2773">
      <w:pPr>
        <w:pStyle w:val="ListParagraph"/>
        <w:numPr>
          <w:ilvl w:val="0"/>
          <w:numId w:val="26"/>
        </w:numPr>
        <w:spacing w:before="120" w:after="120"/>
        <w:ind w:left="714" w:hanging="357"/>
        <w:contextualSpacing w:val="0"/>
        <w:rPr>
          <w:szCs w:val="22"/>
        </w:rPr>
      </w:pPr>
      <w:r w:rsidRPr="00645AD0">
        <w:rPr>
          <w:rFonts w:cs="Arial"/>
        </w:rPr>
        <w:t>the currency of the Code’s definition of dietary fibre, including alignment internationally; and</w:t>
      </w:r>
    </w:p>
    <w:p w14:paraId="003653AE" w14:textId="33EB0CD0" w:rsidR="001A2773" w:rsidRPr="001A2773" w:rsidRDefault="001A2773" w:rsidP="00AA68E5">
      <w:pPr>
        <w:pStyle w:val="ListParagraph"/>
        <w:rPr>
          <w:szCs w:val="22"/>
        </w:rPr>
      </w:pPr>
      <w:r w:rsidRPr="00645AD0">
        <w:rPr>
          <w:rFonts w:cs="Arial"/>
        </w:rPr>
        <w:t>a watching brief on the uptake of AOAC 2017.16 and trends in reported total dietary fibre values, in particular any significant changes to front-of-pack label</w:t>
      </w:r>
      <w:r w:rsidR="002E7EBE" w:rsidRPr="00645AD0">
        <w:rPr>
          <w:rFonts w:cs="Arial"/>
        </w:rPr>
        <w:t xml:space="preserve"> reporting</w:t>
      </w:r>
      <w:r w:rsidRPr="00645AD0">
        <w:rPr>
          <w:rFonts w:cs="Arial"/>
        </w:rPr>
        <w:t>.</w:t>
      </w:r>
    </w:p>
    <w:p w14:paraId="26029DA4" w14:textId="657B7A2B" w:rsidR="002C1A3B" w:rsidRPr="008C301D" w:rsidRDefault="002C1A3B" w:rsidP="00D40130">
      <w:pPr>
        <w:pStyle w:val="Heading1"/>
        <w:numPr>
          <w:ilvl w:val="0"/>
          <w:numId w:val="23"/>
        </w:numPr>
      </w:pPr>
      <w:bookmarkStart w:id="108" w:name="_Toc82077143"/>
      <w:bookmarkStart w:id="109" w:name="_Toc86240844"/>
      <w:bookmarkEnd w:id="108"/>
      <w:r w:rsidRPr="008C301D">
        <w:t>Risk communication</w:t>
      </w:r>
      <w:bookmarkEnd w:id="91"/>
      <w:bookmarkEnd w:id="92"/>
      <w:bookmarkEnd w:id="109"/>
      <w:r w:rsidRPr="008C301D">
        <w:t xml:space="preserve"> </w:t>
      </w:r>
    </w:p>
    <w:p w14:paraId="4D66640F" w14:textId="3B2C5108" w:rsidR="002C1A3B" w:rsidRPr="00B54C28" w:rsidRDefault="002C1A3B" w:rsidP="00D40130">
      <w:pPr>
        <w:pStyle w:val="Heading2"/>
        <w:numPr>
          <w:ilvl w:val="1"/>
          <w:numId w:val="23"/>
        </w:numPr>
      </w:pPr>
      <w:bookmarkStart w:id="110" w:name="_Toc300933437"/>
      <w:bookmarkStart w:id="111" w:name="_Toc370223475"/>
      <w:bookmarkStart w:id="112" w:name="_Toc370225390"/>
      <w:bookmarkStart w:id="113" w:name="_Toc86240845"/>
      <w:r w:rsidRPr="00B54C28">
        <w:t>Consultation</w:t>
      </w:r>
      <w:bookmarkEnd w:id="110"/>
      <w:bookmarkEnd w:id="111"/>
      <w:bookmarkEnd w:id="112"/>
      <w:bookmarkEnd w:id="113"/>
    </w:p>
    <w:p w14:paraId="536790C5" w14:textId="77777777" w:rsidR="0092242C" w:rsidRDefault="00C17785" w:rsidP="008318A8">
      <w:pPr>
        <w:widowControl/>
        <w:spacing w:before="120" w:after="120"/>
        <w:rPr>
          <w:szCs w:val="22"/>
        </w:rPr>
      </w:pPr>
      <w:bookmarkStart w:id="114" w:name="_Toc175381455"/>
      <w:bookmarkStart w:id="115" w:name="_Toc370225391"/>
      <w:bookmarkEnd w:id="63"/>
      <w:bookmarkEnd w:id="64"/>
      <w:bookmarkEnd w:id="65"/>
      <w:bookmarkEnd w:id="66"/>
      <w:bookmarkEnd w:id="67"/>
      <w:bookmarkEnd w:id="68"/>
      <w:bookmarkEnd w:id="93"/>
      <w:r w:rsidRPr="00624DD2">
        <w:rPr>
          <w:szCs w:val="22"/>
        </w:rPr>
        <w:t xml:space="preserve">Consultation is a key part of FSANZ’s standards development process. </w:t>
      </w:r>
      <w:r w:rsidR="008250E5" w:rsidRPr="00C626C5">
        <w:rPr>
          <w:rFonts w:cs="Arial"/>
          <w:color w:val="000000"/>
        </w:rPr>
        <w:t xml:space="preserve">FSANZ developed </w:t>
      </w:r>
      <w:r w:rsidR="008250E5" w:rsidRPr="00C626C5">
        <w:rPr>
          <w:szCs w:val="22"/>
        </w:rPr>
        <w:t xml:space="preserve">and applied a standard communication strategy to this application. </w:t>
      </w:r>
    </w:p>
    <w:p w14:paraId="2265A189" w14:textId="36D51410" w:rsidR="00ED3D7D" w:rsidRPr="00027D8B" w:rsidRDefault="0092242C" w:rsidP="008318A8">
      <w:pPr>
        <w:widowControl/>
        <w:spacing w:before="120" w:after="120"/>
        <w:rPr>
          <w:szCs w:val="22"/>
        </w:rPr>
      </w:pPr>
      <w:r>
        <w:rPr>
          <w:szCs w:val="22"/>
        </w:rPr>
        <w:t xml:space="preserve">FSANZ undertook a public call </w:t>
      </w:r>
      <w:r w:rsidRPr="0029543A">
        <w:rPr>
          <w:szCs w:val="22"/>
        </w:rPr>
        <w:t xml:space="preserve">for submissions from </w:t>
      </w:r>
      <w:r>
        <w:rPr>
          <w:szCs w:val="22"/>
        </w:rPr>
        <w:t>21 May 2021</w:t>
      </w:r>
      <w:r w:rsidRPr="0029543A">
        <w:rPr>
          <w:szCs w:val="22"/>
        </w:rPr>
        <w:t xml:space="preserve"> </w:t>
      </w:r>
      <w:r>
        <w:rPr>
          <w:szCs w:val="22"/>
        </w:rPr>
        <w:t xml:space="preserve">to 22 June 2021. </w:t>
      </w:r>
      <w:r w:rsidRPr="00C626C5">
        <w:rPr>
          <w:rFonts w:cs="Arial"/>
          <w:color w:val="000000"/>
        </w:rPr>
        <w:t xml:space="preserve">Subscribers and interested parties were notified about the public consultation period via the </w:t>
      </w:r>
      <w:r w:rsidRPr="00C626C5">
        <w:rPr>
          <w:szCs w:val="22"/>
        </w:rPr>
        <w:t>Food Standards Notification Circular</w:t>
      </w:r>
      <w:r w:rsidRPr="00C626C5">
        <w:rPr>
          <w:rFonts w:cs="Arial"/>
          <w:color w:val="000000"/>
        </w:rPr>
        <w:t xml:space="preserve">. </w:t>
      </w:r>
      <w:r>
        <w:rPr>
          <w:rFonts w:cs="Arial"/>
          <w:color w:val="000000"/>
        </w:rPr>
        <w:t xml:space="preserve">Public notification was made via </w:t>
      </w:r>
      <w:r w:rsidRPr="00C626C5">
        <w:rPr>
          <w:rFonts w:cs="Arial"/>
          <w:color w:val="000000"/>
        </w:rPr>
        <w:t>media release, FSANZ social media and Food Standards News</w:t>
      </w:r>
      <w:r>
        <w:rPr>
          <w:rFonts w:cs="Arial"/>
          <w:color w:val="000000"/>
        </w:rPr>
        <w:t>.</w:t>
      </w:r>
      <w:r w:rsidRPr="00C626C5">
        <w:rPr>
          <w:rFonts w:cs="Arial"/>
          <w:color w:val="000000"/>
        </w:rPr>
        <w:t xml:space="preserve"> </w:t>
      </w:r>
      <w:r>
        <w:t>Ten submissions and one late submission were received.</w:t>
      </w:r>
    </w:p>
    <w:p w14:paraId="371C4096" w14:textId="510C2931" w:rsidR="00C17785" w:rsidRDefault="00ED3D7D">
      <w:pPr>
        <w:widowControl/>
        <w:spacing w:before="120" w:after="120"/>
      </w:pPr>
      <w:r>
        <w:t>FSANZ</w:t>
      </w:r>
      <w:r w:rsidR="008250E5">
        <w:t xml:space="preserve"> also</w:t>
      </w:r>
      <w:r>
        <w:t xml:space="preserve"> presented a paper </w:t>
      </w:r>
      <w:r w:rsidR="0092242C">
        <w:t xml:space="preserve">on this work </w:t>
      </w:r>
      <w:r>
        <w:t>to</w:t>
      </w:r>
      <w:r w:rsidR="008250E5">
        <w:t xml:space="preserve"> the</w:t>
      </w:r>
      <w:r>
        <w:t xml:space="preserve"> </w:t>
      </w:r>
      <w:r w:rsidR="008250E5">
        <w:t xml:space="preserve">Retailers and Manufacturers Liaison Committee (RMLC) on 28 </w:t>
      </w:r>
      <w:r>
        <w:t>July 2021</w:t>
      </w:r>
      <w:r w:rsidR="008250E5">
        <w:t xml:space="preserve">, </w:t>
      </w:r>
      <w:r>
        <w:t xml:space="preserve">and held a targeted consultation with key industry </w:t>
      </w:r>
      <w:r w:rsidR="008250E5">
        <w:t>a</w:t>
      </w:r>
      <w:r>
        <w:t xml:space="preserve">nd </w:t>
      </w:r>
      <w:r w:rsidR="008250E5">
        <w:t xml:space="preserve">jurisdictional </w:t>
      </w:r>
      <w:r>
        <w:t>submitt</w:t>
      </w:r>
      <w:r w:rsidR="008250E5">
        <w:t>ers</w:t>
      </w:r>
      <w:r>
        <w:t xml:space="preserve"> </w:t>
      </w:r>
      <w:r w:rsidR="008250E5">
        <w:t>on 19</w:t>
      </w:r>
      <w:r>
        <w:t xml:space="preserve"> August 2021.</w:t>
      </w:r>
    </w:p>
    <w:p w14:paraId="1EB6A940" w14:textId="5DF9CB6C" w:rsidR="008250E5" w:rsidRPr="002C1A3B" w:rsidRDefault="0092242C" w:rsidP="007B200D">
      <w:pPr>
        <w:widowControl/>
        <w:spacing w:before="120" w:after="120"/>
        <w:rPr>
          <w:szCs w:val="22"/>
        </w:rPr>
      </w:pPr>
      <w:r>
        <w:rPr>
          <w:szCs w:val="22"/>
        </w:rPr>
        <w:t xml:space="preserve">As part of its assessment, </w:t>
      </w:r>
      <w:r w:rsidR="008250E5">
        <w:rPr>
          <w:szCs w:val="22"/>
        </w:rPr>
        <w:t>FSANZ had regard to all submissions</w:t>
      </w:r>
      <w:r w:rsidR="004A7DFD">
        <w:rPr>
          <w:szCs w:val="22"/>
        </w:rPr>
        <w:t xml:space="preserve"> received for this application</w:t>
      </w:r>
      <w:r>
        <w:rPr>
          <w:szCs w:val="22"/>
        </w:rPr>
        <w:t xml:space="preserve">. FSANZ </w:t>
      </w:r>
      <w:r w:rsidR="004A7DFD">
        <w:rPr>
          <w:szCs w:val="22"/>
        </w:rPr>
        <w:t>a</w:t>
      </w:r>
      <w:r w:rsidR="00C17785" w:rsidRPr="00624DD2">
        <w:rPr>
          <w:szCs w:val="22"/>
        </w:rPr>
        <w:t>cknowledges the time taken by individuals and organisations who made submissions</w:t>
      </w:r>
      <w:r w:rsidR="00ED3D7D">
        <w:rPr>
          <w:szCs w:val="22"/>
        </w:rPr>
        <w:t xml:space="preserve">, attended consultations and provided further data </w:t>
      </w:r>
      <w:r>
        <w:rPr>
          <w:szCs w:val="22"/>
        </w:rPr>
        <w:t xml:space="preserve">to inform </w:t>
      </w:r>
      <w:r w:rsidR="00ED3D7D">
        <w:rPr>
          <w:szCs w:val="22"/>
        </w:rPr>
        <w:t>FSANZ</w:t>
      </w:r>
      <w:r>
        <w:rPr>
          <w:szCs w:val="22"/>
        </w:rPr>
        <w:t>’s assessment</w:t>
      </w:r>
      <w:r w:rsidR="00C17785" w:rsidRPr="00624DD2">
        <w:rPr>
          <w:szCs w:val="22"/>
        </w:rPr>
        <w:t xml:space="preserve">. </w:t>
      </w:r>
      <w:r>
        <w:rPr>
          <w:szCs w:val="22"/>
        </w:rPr>
        <w:t>All</w:t>
      </w:r>
      <w:r w:rsidRPr="002C1A3B">
        <w:rPr>
          <w:szCs w:val="22"/>
        </w:rPr>
        <w:t xml:space="preserve"> </w:t>
      </w:r>
      <w:r w:rsidR="008250E5" w:rsidRPr="002C1A3B">
        <w:rPr>
          <w:szCs w:val="22"/>
        </w:rPr>
        <w:t>s</w:t>
      </w:r>
      <w:r w:rsidR="008250E5">
        <w:rPr>
          <w:szCs w:val="22"/>
        </w:rPr>
        <w:t>ubmission</w:t>
      </w:r>
      <w:r>
        <w:rPr>
          <w:szCs w:val="22"/>
        </w:rPr>
        <w:t>s</w:t>
      </w:r>
      <w:r w:rsidR="008250E5">
        <w:rPr>
          <w:szCs w:val="22"/>
        </w:rPr>
        <w:t xml:space="preserve"> w</w:t>
      </w:r>
      <w:r>
        <w:rPr>
          <w:szCs w:val="22"/>
        </w:rPr>
        <w:t>ere</w:t>
      </w:r>
      <w:r w:rsidR="008250E5">
        <w:rPr>
          <w:szCs w:val="22"/>
        </w:rPr>
        <w:t xml:space="preserve"> considered</w:t>
      </w:r>
      <w:r w:rsidR="008250E5" w:rsidRPr="002C1A3B">
        <w:rPr>
          <w:szCs w:val="22"/>
        </w:rPr>
        <w:t xml:space="preserve"> by </w:t>
      </w:r>
      <w:r w:rsidR="008250E5">
        <w:rPr>
          <w:szCs w:val="22"/>
        </w:rPr>
        <w:t xml:space="preserve">the </w:t>
      </w:r>
      <w:r w:rsidR="008250E5" w:rsidRPr="002C1A3B">
        <w:rPr>
          <w:szCs w:val="22"/>
        </w:rPr>
        <w:t xml:space="preserve">FSANZ </w:t>
      </w:r>
      <w:r w:rsidR="008250E5">
        <w:rPr>
          <w:szCs w:val="22"/>
        </w:rPr>
        <w:t>Board</w:t>
      </w:r>
      <w:r w:rsidR="008250E5" w:rsidRPr="002C1A3B">
        <w:rPr>
          <w:szCs w:val="22"/>
        </w:rPr>
        <w:t xml:space="preserve">. </w:t>
      </w:r>
      <w:r w:rsidR="008250E5">
        <w:rPr>
          <w:szCs w:val="22"/>
        </w:rPr>
        <w:t>A</w:t>
      </w:r>
      <w:r w:rsidR="008250E5" w:rsidRPr="002C1A3B">
        <w:rPr>
          <w:szCs w:val="22"/>
        </w:rPr>
        <w:t>ll comments are valued and contribute to the rigour of our assessment.</w:t>
      </w:r>
    </w:p>
    <w:p w14:paraId="7BB973DD" w14:textId="7CBD35FB" w:rsidR="002C1A3B" w:rsidRPr="000E79AC" w:rsidRDefault="002C1A3B" w:rsidP="00D40130">
      <w:pPr>
        <w:pStyle w:val="Heading1"/>
        <w:numPr>
          <w:ilvl w:val="0"/>
          <w:numId w:val="23"/>
        </w:numPr>
      </w:pPr>
      <w:bookmarkStart w:id="116" w:name="_Toc82077146"/>
      <w:bookmarkStart w:id="117" w:name="_Toc370223477"/>
      <w:bookmarkStart w:id="118" w:name="_Toc370225392"/>
      <w:bookmarkStart w:id="119" w:name="_Toc86240846"/>
      <w:bookmarkStart w:id="120" w:name="_Toc309291816"/>
      <w:bookmarkStart w:id="121" w:name="_Toc300933448"/>
      <w:bookmarkStart w:id="122" w:name="_Toc300933577"/>
      <w:bookmarkStart w:id="123" w:name="_Toc301535601"/>
      <w:bookmarkStart w:id="124" w:name="_Toc309385464"/>
      <w:bookmarkStart w:id="125" w:name="_Toc175381456"/>
      <w:bookmarkEnd w:id="114"/>
      <w:bookmarkEnd w:id="115"/>
      <w:bookmarkEnd w:id="116"/>
      <w:r w:rsidRPr="000E79AC">
        <w:lastRenderedPageBreak/>
        <w:t>FSANZ Act assessment requirements</w:t>
      </w:r>
      <w:bookmarkEnd w:id="117"/>
      <w:bookmarkEnd w:id="118"/>
      <w:bookmarkEnd w:id="119"/>
    </w:p>
    <w:p w14:paraId="149ED78E" w14:textId="6C675564" w:rsidR="002C1A3B" w:rsidRPr="002C1A3B" w:rsidRDefault="002C1A3B" w:rsidP="00D40130">
      <w:pPr>
        <w:pStyle w:val="Heading2"/>
        <w:numPr>
          <w:ilvl w:val="1"/>
          <w:numId w:val="23"/>
        </w:numPr>
      </w:pPr>
      <w:bookmarkStart w:id="126" w:name="_Toc370223478"/>
      <w:bookmarkStart w:id="127" w:name="_Toc370225393"/>
      <w:bookmarkStart w:id="128" w:name="_Toc86240847"/>
      <w:bookmarkEnd w:id="120"/>
      <w:bookmarkEnd w:id="121"/>
      <w:bookmarkEnd w:id="122"/>
      <w:bookmarkEnd w:id="123"/>
      <w:bookmarkEnd w:id="124"/>
      <w:r w:rsidRPr="002C1A3B">
        <w:t xml:space="preserve">Section </w:t>
      </w:r>
      <w:r w:rsidRPr="00B54C28">
        <w:t>29</w:t>
      </w:r>
      <w:bookmarkEnd w:id="126"/>
      <w:bookmarkEnd w:id="127"/>
      <w:bookmarkEnd w:id="128"/>
    </w:p>
    <w:p w14:paraId="510C2501" w14:textId="0E80F670" w:rsidR="00F53307" w:rsidRPr="00F53307" w:rsidRDefault="00F53307" w:rsidP="00553386">
      <w:r w:rsidRPr="00F53307">
        <w:t xml:space="preserve">When assessing this Application and the subsequent development of a food regulatory measure, FSANZ has had regard to the </w:t>
      </w:r>
      <w:r w:rsidRPr="00F53307" w:rsidDel="00932F14">
        <w:t xml:space="preserve">following </w:t>
      </w:r>
      <w:r w:rsidRPr="00F53307">
        <w:t>matters in section 29 of the FSANZ Act:</w:t>
      </w:r>
    </w:p>
    <w:p w14:paraId="2CC01637" w14:textId="147922DA" w:rsidR="002C1A3B" w:rsidRPr="002F1B3C" w:rsidRDefault="00BF45A3" w:rsidP="00D40130">
      <w:pPr>
        <w:pStyle w:val="Heading3"/>
        <w:numPr>
          <w:ilvl w:val="2"/>
          <w:numId w:val="23"/>
        </w:numPr>
      </w:pPr>
      <w:bookmarkStart w:id="129" w:name="_Toc86240848"/>
      <w:r w:rsidRPr="002F1B3C">
        <w:t>Consideration of costs and</w:t>
      </w:r>
      <w:r w:rsidR="002C1A3B" w:rsidRPr="002F1B3C">
        <w:t xml:space="preserve"> benefit</w:t>
      </w:r>
      <w:r w:rsidRPr="002F1B3C">
        <w:t>s</w:t>
      </w:r>
      <w:bookmarkEnd w:id="129"/>
    </w:p>
    <w:p w14:paraId="6785E3DD" w14:textId="15379BEC" w:rsidR="00F576EB" w:rsidRPr="00222B4F" w:rsidRDefault="00F576EB" w:rsidP="003648E6">
      <w:pPr>
        <w:widowControl/>
        <w:spacing w:before="120" w:after="120"/>
      </w:pPr>
      <w:r w:rsidRPr="00140661">
        <w:t>The Office of Best Practice Regulation (OBPR) granted FSANZ a standing exemption from the requirement to develop a Regulatory Impact Statement for</w:t>
      </w:r>
      <w:r>
        <w:t xml:space="preserve"> applications requesting the use of optional methods of analysis </w:t>
      </w:r>
      <w:r w:rsidRPr="00317735">
        <w:t>(OBPR correspondence dated</w:t>
      </w:r>
      <w:r>
        <w:t xml:space="preserve"> 16 April 2013, reference number 14943). </w:t>
      </w:r>
      <w:r w:rsidRPr="00317735">
        <w:t xml:space="preserve">This standing exemption </w:t>
      </w:r>
      <w:r w:rsidR="00413792">
        <w:t>applies here</w:t>
      </w:r>
      <w:r w:rsidRPr="00317735">
        <w:t xml:space="preserve"> as permitting the </w:t>
      </w:r>
      <w:r>
        <w:t xml:space="preserve">optional method of </w:t>
      </w:r>
      <w:r w:rsidRPr="00222B4F">
        <w:t xml:space="preserve">analysis is </w:t>
      </w:r>
      <w:r>
        <w:t xml:space="preserve">voluntary and </w:t>
      </w:r>
      <w:r w:rsidR="00413792">
        <w:t>unlikely to</w:t>
      </w:r>
      <w:r w:rsidRPr="00222B4F">
        <w:t xml:space="preserve"> have more than a minor economic impact</w:t>
      </w:r>
      <w:r w:rsidR="00313E0B">
        <w:t xml:space="preserve"> on businesses or individuals. </w:t>
      </w:r>
    </w:p>
    <w:p w14:paraId="50BA31B4" w14:textId="22CE8D60" w:rsidR="00F576EB" w:rsidRPr="00313E0B" w:rsidRDefault="00F576EB" w:rsidP="003648E6">
      <w:pPr>
        <w:widowControl/>
        <w:spacing w:before="120" w:after="120"/>
        <w:rPr>
          <w:rFonts w:cs="Arial"/>
        </w:rPr>
      </w:pPr>
      <w:r w:rsidRPr="00222B4F">
        <w:rPr>
          <w:rFonts w:cs="Arial"/>
        </w:rPr>
        <w:t xml:space="preserve">FSANZ, however, has given consideration to the costs and benefits that may arise from the proposed </w:t>
      </w:r>
      <w:r w:rsidRPr="00A55542">
        <w:rPr>
          <w:rFonts w:cs="Arial"/>
        </w:rPr>
        <w:t xml:space="preserve">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t>(paragraph 29(2)(a))</w:t>
      </w:r>
      <w:r w:rsidR="00313E0B">
        <w:rPr>
          <w:rFonts w:cs="Arial"/>
        </w:rPr>
        <w:t xml:space="preserve">. </w:t>
      </w:r>
    </w:p>
    <w:p w14:paraId="4937095D" w14:textId="4703C3CD" w:rsidR="00F576EB" w:rsidRDefault="00F576EB" w:rsidP="003648E6">
      <w:pPr>
        <w:widowControl/>
        <w:spacing w:before="120" w:after="120"/>
      </w:pPr>
      <w:r>
        <w:t xml:space="preserve">The purpose of this consideration is to determine if the community, government, and industry as a whole is likely to benefit, on balance, from a move </w:t>
      </w:r>
      <w:r w:rsidR="00413792">
        <w:t xml:space="preserve">away </w:t>
      </w:r>
      <w:r>
        <w:t xml:space="preserve">from option 1 - status quo </w:t>
      </w:r>
      <w:r w:rsidRPr="006D243A">
        <w:t>(rejecting the application)</w:t>
      </w:r>
      <w:r>
        <w:t xml:space="preserve">. This analysis considers two alternative options to the status quo: approving the </w:t>
      </w:r>
      <w:r w:rsidDel="00702DA0">
        <w:t xml:space="preserve">application with </w:t>
      </w:r>
      <w:r>
        <w:t xml:space="preserve">restrictions on using AOAC 2017.16 for foods containing </w:t>
      </w:r>
      <w:r w:rsidRPr="00222B4F">
        <w:t>GOS</w:t>
      </w:r>
      <w:r>
        <w:t xml:space="preserve"> and IMO; or approving the application as it stands. FSANZ is of the view that no other realistic food regulatory measures exist</w:t>
      </w:r>
      <w:r w:rsidR="003D401B">
        <w:t>.</w:t>
      </w:r>
    </w:p>
    <w:p w14:paraId="2AF4CA3D" w14:textId="7616AE1E" w:rsidR="00027D8B" w:rsidRDefault="00F576EB" w:rsidP="003648E6">
      <w:pPr>
        <w:widowControl/>
        <w:spacing w:before="120" w:after="120"/>
      </w:pPr>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t>considering the two alternative options</w:t>
      </w:r>
      <w:r w:rsidRPr="00824CF4">
        <w:t>.</w:t>
      </w:r>
    </w:p>
    <w:p w14:paraId="43BBD459" w14:textId="6B86723D" w:rsidR="00F576EB" w:rsidRPr="008D20AD" w:rsidRDefault="00F576EB" w:rsidP="00D40130">
      <w:pPr>
        <w:pStyle w:val="Heading4"/>
        <w:numPr>
          <w:ilvl w:val="0"/>
          <w:numId w:val="16"/>
        </w:numPr>
        <w:spacing w:before="120" w:after="120"/>
        <w:rPr>
          <w:b w:val="0"/>
        </w:rPr>
      </w:pPr>
      <w:r w:rsidRPr="008D20AD">
        <w:rPr>
          <w:b w:val="0"/>
        </w:rPr>
        <w:t>Costs and benefits of Option 2 – Permit AOAC 2017.16 as a dietary fibre method of analysis with restrictions against its use on foods containing GOS</w:t>
      </w:r>
      <w:r>
        <w:rPr>
          <w:b w:val="0"/>
        </w:rPr>
        <w:t xml:space="preserve"> and IMO</w:t>
      </w:r>
    </w:p>
    <w:p w14:paraId="5BA619D0" w14:textId="2D97F020" w:rsidR="00F576EB" w:rsidRDefault="00F576EB" w:rsidP="003648E6">
      <w:pPr>
        <w:spacing w:before="120" w:after="120"/>
      </w:pPr>
      <w:r>
        <w:t xml:space="preserve">This option permits the use of AOAC 2017.16 with the condition that foods containing GOS and IMO </w:t>
      </w:r>
      <w:r w:rsidR="00413792">
        <w:t>are</w:t>
      </w:r>
      <w:r>
        <w:t xml:space="preserve"> excluded from</w:t>
      </w:r>
      <w:r w:rsidR="00D84C3C">
        <w:t xml:space="preserve"> using the method of analysis. </w:t>
      </w:r>
    </w:p>
    <w:p w14:paraId="40352D66" w14:textId="16AF0512" w:rsidR="00F576EB" w:rsidRDefault="00F576EB" w:rsidP="003648E6">
      <w:pPr>
        <w:spacing w:before="120" w:after="120"/>
      </w:pPr>
      <w:r>
        <w:t xml:space="preserve">Industry will benefit from having an additional </w:t>
      </w:r>
      <w:r>
        <w:rPr>
          <w:lang w:eastAsia="en-AU"/>
        </w:rPr>
        <w:t xml:space="preserve">total dietary fibre method of analysis permitted by the Code. </w:t>
      </w:r>
      <w:r>
        <w:t xml:space="preserve">Each of the methods of analysis are better suited to certain circumstances. </w:t>
      </w:r>
      <w:r>
        <w:rPr>
          <w:szCs w:val="22"/>
        </w:rPr>
        <w:t xml:space="preserve">Due to the voluntary nature of the permission, industry will choose the method of analysis </w:t>
      </w:r>
      <w:r>
        <w:t xml:space="preserve">likely to </w:t>
      </w:r>
      <w:r w:rsidR="00313E0B">
        <w:t xml:space="preserve">provide them the most benefit. </w:t>
      </w:r>
    </w:p>
    <w:p w14:paraId="61EE0088" w14:textId="20561C00" w:rsidR="00F576EB" w:rsidRDefault="00F576EB" w:rsidP="003648E6">
      <w:pPr>
        <w:spacing w:before="120" w:after="120"/>
      </w:pPr>
      <w:r>
        <w:t>Products containing GOS and IMO would not be</w:t>
      </w:r>
      <w:r w:rsidR="00313E0B">
        <w:t xml:space="preserve"> permitted to use AOAC 2017.16.</w:t>
      </w:r>
    </w:p>
    <w:p w14:paraId="3CF6F078" w14:textId="2583E404" w:rsidR="00F576EB" w:rsidRDefault="00F576EB" w:rsidP="003648E6">
      <w:pPr>
        <w:spacing w:before="120" w:after="120"/>
      </w:pPr>
      <w:r>
        <w:t>Consumers are unlikely to be adversely affected by this option. Consumers wishing to consume a certain amount of dietary fibre, as currently defined by the Code, will be able to do so using the NIP. However there is variability in the determinations of total dietary fibre across the methods. For instance, methods AOAC 985.</w:t>
      </w:r>
      <w:r w:rsidR="00570C8B">
        <w:t>29 and 991.43 do not measure LMWDF and,</w:t>
      </w:r>
      <w:r>
        <w:t xml:space="preserve"> unless used in combination with </w:t>
      </w:r>
      <w:r w:rsidRPr="001A31D4">
        <w:t>individual methods of analysis for specifically named dietary fibre</w:t>
      </w:r>
      <w:r w:rsidR="00570C8B">
        <w:t>, will underestimate actual total dietary fibre in a food product</w:t>
      </w:r>
      <w:r w:rsidR="00313E0B">
        <w:t>.</w:t>
      </w:r>
    </w:p>
    <w:p w14:paraId="68741098" w14:textId="5E93E306" w:rsidR="00F576EB" w:rsidRPr="00086A52" w:rsidRDefault="00F576EB" w:rsidP="003648E6">
      <w:pPr>
        <w:spacing w:before="120" w:after="120"/>
      </w:pPr>
      <w:r>
        <w:t xml:space="preserve">Option 2 introduces complexity into regulatory enforcement as </w:t>
      </w:r>
      <w:r w:rsidR="00570C8B">
        <w:t>it limits</w:t>
      </w:r>
      <w:r>
        <w:t xml:space="preserve"> products entitled to use AOAC 2017.16. As stated above, if this option is chosen, consideration of imposing the same restriction on method AOAC 2001.03, which is already permitted in the Code, will need to be addressed. It is expected that this would place a similar burden on government </w:t>
      </w:r>
      <w:r>
        <w:lastRenderedPageBreak/>
        <w:t xml:space="preserve">regulatory agencies as AOAC 2017.16, and additionally </w:t>
      </w:r>
      <w:r>
        <w:rPr>
          <w:lang w:eastAsia="en-AU" w:bidi="ar-SA"/>
        </w:rPr>
        <w:t xml:space="preserve">impact manufacturers who currently use AOAC 2001.03 as they would have to revert to using older, less comprehensive methods permitted in the Code for total dietary fibre analysis. </w:t>
      </w:r>
    </w:p>
    <w:p w14:paraId="47AD91BA" w14:textId="77777777" w:rsidR="00F576EB" w:rsidRPr="007D143A" w:rsidRDefault="00F576EB" w:rsidP="00D40130">
      <w:pPr>
        <w:pStyle w:val="Heading4"/>
        <w:numPr>
          <w:ilvl w:val="0"/>
          <w:numId w:val="16"/>
        </w:numPr>
        <w:spacing w:before="120" w:after="120"/>
      </w:pPr>
      <w:r w:rsidRPr="00570C8B">
        <w:rPr>
          <w:b w:val="0"/>
        </w:rPr>
        <w:t xml:space="preserve">Costs and benefits of Option 3 – Permit AOAC 2017.16 without restrictions </w:t>
      </w:r>
    </w:p>
    <w:p w14:paraId="1E97BCFC" w14:textId="1B20ED0E" w:rsidR="00F576EB" w:rsidRDefault="00F576EB" w:rsidP="003648E6">
      <w:pPr>
        <w:spacing w:before="120" w:after="120"/>
      </w:pPr>
      <w:r>
        <w:t xml:space="preserve">Industry will benefit from having an additional </w:t>
      </w:r>
      <w:r>
        <w:rPr>
          <w:lang w:eastAsia="en-AU"/>
        </w:rPr>
        <w:t xml:space="preserve">total dietary fibre method of analysis permitted by the Code. </w:t>
      </w:r>
      <w:r>
        <w:t xml:space="preserve">Each of the methods of analysis are better suited to certain circumstances. </w:t>
      </w:r>
      <w:r>
        <w:rPr>
          <w:szCs w:val="22"/>
        </w:rPr>
        <w:t xml:space="preserve">Due to the voluntary nature of the permission, industry will choose the method of analysis </w:t>
      </w:r>
      <w:r>
        <w:t>likely to provide them the most benefit.</w:t>
      </w:r>
      <w:r w:rsidR="00570C8B">
        <w:t xml:space="preserve"> </w:t>
      </w:r>
      <w:r w:rsidR="00D84C3C">
        <w:t xml:space="preserve">In May 2021, </w:t>
      </w:r>
      <w:r w:rsidR="00AF69AE">
        <w:rPr>
          <w:rFonts w:cs="Arial"/>
          <w:lang w:val="en-AU"/>
        </w:rPr>
        <w:t>CCMAS recommended</w:t>
      </w:r>
      <w:r w:rsidR="00570C8B" w:rsidRPr="00C4701E">
        <w:rPr>
          <w:rFonts w:cs="Arial"/>
          <w:lang w:val="en-AU"/>
        </w:rPr>
        <w:t xml:space="preserve"> replace</w:t>
      </w:r>
      <w:r w:rsidR="00AF69AE">
        <w:rPr>
          <w:rFonts w:cs="Arial"/>
          <w:lang w:val="en-AU"/>
        </w:rPr>
        <w:t>ment of</w:t>
      </w:r>
      <w:r w:rsidR="00570C8B" w:rsidRPr="00C4701E">
        <w:rPr>
          <w:rFonts w:cs="Arial"/>
          <w:lang w:val="en-AU"/>
        </w:rPr>
        <w:t xml:space="preserve"> AOAC 2009.01</w:t>
      </w:r>
      <w:r w:rsidR="00AF69AE">
        <w:rPr>
          <w:rFonts w:cs="Arial"/>
          <w:lang w:val="en-AU"/>
        </w:rPr>
        <w:t xml:space="preserve"> with AOAC 2017.16 (added as an item at </w:t>
      </w:r>
      <w:r w:rsidR="00D84C3C">
        <w:rPr>
          <w:rFonts w:cs="Arial"/>
          <w:lang w:val="en-AU"/>
        </w:rPr>
        <w:t>CAC44, November 2021)</w:t>
      </w:r>
      <w:r w:rsidR="00570C8B" w:rsidRPr="00C4701E">
        <w:rPr>
          <w:rFonts w:cs="Arial"/>
          <w:lang w:val="en-AU"/>
        </w:rPr>
        <w:t>. Several countries have been using AOAC 2009.01 as their listed method for total dietary fibre analysis. Given Australia and New Zealand have not adopted AOAC 2009.01</w:t>
      </w:r>
      <w:r w:rsidR="006C20C7">
        <w:rPr>
          <w:rFonts w:cs="Arial"/>
          <w:lang w:val="en-AU"/>
        </w:rPr>
        <w:t xml:space="preserve"> but other countries use it and it measures the same low and high molecular weight dietary fibre as AOAC 2017.16</w:t>
      </w:r>
      <w:r w:rsidR="00570C8B" w:rsidRPr="00C4701E">
        <w:rPr>
          <w:rFonts w:cs="Arial"/>
          <w:lang w:val="en-AU"/>
        </w:rPr>
        <w:t>, an existing trade barrier is resolved with the adoption of AOAC 2017.16.</w:t>
      </w:r>
      <w:r w:rsidR="004012CE">
        <w:rPr>
          <w:rFonts w:cs="Arial"/>
          <w:lang w:val="en-AU"/>
        </w:rPr>
        <w:t xml:space="preserve"> If other countries continue to use AOAC 2009.01 a small variation </w:t>
      </w:r>
      <w:r w:rsidR="00DF7F24">
        <w:rPr>
          <w:rFonts w:cs="Arial"/>
          <w:lang w:val="en-AU"/>
        </w:rPr>
        <w:t xml:space="preserve">will </w:t>
      </w:r>
      <w:r w:rsidR="004012CE">
        <w:rPr>
          <w:rFonts w:cs="Arial"/>
          <w:lang w:val="en-AU"/>
        </w:rPr>
        <w:t>exist</w:t>
      </w:r>
      <w:r w:rsidR="00DF7F24">
        <w:rPr>
          <w:rFonts w:cs="Arial"/>
          <w:lang w:val="en-AU"/>
        </w:rPr>
        <w:t xml:space="preserve"> but given the improvements </w:t>
      </w:r>
      <w:r w:rsidR="008A17DE">
        <w:rPr>
          <w:rFonts w:cs="Arial"/>
          <w:lang w:val="en-AU"/>
        </w:rPr>
        <w:t>from</w:t>
      </w:r>
      <w:r w:rsidR="00DF7F24">
        <w:rPr>
          <w:rFonts w:cs="Arial"/>
          <w:lang w:val="en-AU"/>
        </w:rPr>
        <w:t xml:space="preserve"> AOAC 2009.01 </w:t>
      </w:r>
      <w:r w:rsidR="008A17DE">
        <w:rPr>
          <w:rFonts w:cs="Arial"/>
          <w:lang w:val="en-AU"/>
        </w:rPr>
        <w:t xml:space="preserve">in </w:t>
      </w:r>
      <w:r w:rsidR="00DF7F24">
        <w:rPr>
          <w:rFonts w:cs="Arial"/>
          <w:lang w:val="en-AU"/>
        </w:rPr>
        <w:t>AOAC 2017.16</w:t>
      </w:r>
      <w:r w:rsidR="008A17DE">
        <w:rPr>
          <w:rFonts w:cs="Arial"/>
          <w:lang w:val="en-AU"/>
        </w:rPr>
        <w:t xml:space="preserve"> it is anticipated countries will move to align with Codex</w:t>
      </w:r>
      <w:r w:rsidR="004012CE">
        <w:rPr>
          <w:rFonts w:cs="Arial"/>
          <w:lang w:val="en-AU"/>
        </w:rPr>
        <w:t>.</w:t>
      </w:r>
    </w:p>
    <w:p w14:paraId="67C1860D" w14:textId="3B1BA835" w:rsidR="00F576EB" w:rsidRDefault="00F576EB" w:rsidP="003648E6">
      <w:pPr>
        <w:spacing w:before="120" w:after="120"/>
      </w:pPr>
      <w:r w:rsidRPr="00EC6889">
        <w:t xml:space="preserve">Consumers are unlikely to be </w:t>
      </w:r>
      <w:r>
        <w:t>adversely</w:t>
      </w:r>
      <w:r w:rsidRPr="00EC6889">
        <w:t xml:space="preserve"> affected by this option. Any overestimate of </w:t>
      </w:r>
      <w:r>
        <w:t>total</w:t>
      </w:r>
      <w:r w:rsidRPr="00EC6889">
        <w:t xml:space="preserve"> dietary fibre </w:t>
      </w:r>
      <w:r>
        <w:t>would</w:t>
      </w:r>
      <w:r w:rsidRPr="00EC6889">
        <w:t xml:space="preserve"> only occur on foods containing GOS</w:t>
      </w:r>
      <w:r>
        <w:t xml:space="preserve"> (and IMO, noting FSANZ has not assessed it against the Code’s definition of dietary fibre)</w:t>
      </w:r>
      <w:r w:rsidRPr="00EC6889">
        <w:t xml:space="preserve">, and this is likely to be proportionate to the existing variance in </w:t>
      </w:r>
      <w:r>
        <w:t>total</w:t>
      </w:r>
      <w:r w:rsidRPr="00EC6889">
        <w:t xml:space="preserve"> dietary fibre values presented on NIPs using older methods (including a potential underestimate of </w:t>
      </w:r>
      <w:r>
        <w:t>total</w:t>
      </w:r>
      <w:r w:rsidRPr="00EC6889">
        <w:t xml:space="preserve"> dietary fibre).</w:t>
      </w:r>
    </w:p>
    <w:p w14:paraId="0640971D" w14:textId="5F632DBE" w:rsidR="00F576EB" w:rsidRDefault="00F576EB" w:rsidP="003648E6">
      <w:pPr>
        <w:spacing w:before="120" w:after="120"/>
      </w:pPr>
      <w:r>
        <w:t xml:space="preserve">Adopting Option </w:t>
      </w:r>
      <w:r w:rsidR="00280E67">
        <w:t>3</w:t>
      </w:r>
      <w:r>
        <w:t xml:space="preserve"> would, for consistency, require the same considerations of restrictions on AOAC 2001.03 as under the </w:t>
      </w:r>
      <w:r w:rsidR="004633BA">
        <w:t>s</w:t>
      </w:r>
      <w:r>
        <w:t xml:space="preserve">tatus </w:t>
      </w:r>
      <w:r w:rsidR="004633BA">
        <w:t>q</w:t>
      </w:r>
      <w:r>
        <w:t xml:space="preserve">uo. Additionally, Option </w:t>
      </w:r>
      <w:r w:rsidR="00280E67">
        <w:t>3</w:t>
      </w:r>
      <w:r>
        <w:t xml:space="preserve"> would permit another voluntary method (AOAC 2017.16), giving potential net benefits to industry compared to the </w:t>
      </w:r>
      <w:r w:rsidR="004633BA">
        <w:t>s</w:t>
      </w:r>
      <w:r>
        <w:t xml:space="preserve">tatus </w:t>
      </w:r>
      <w:r w:rsidR="004633BA">
        <w:t>q</w:t>
      </w:r>
      <w:r>
        <w:t>uo, whil</w:t>
      </w:r>
      <w:r w:rsidR="004633BA">
        <w:t>e</w:t>
      </w:r>
      <w:r>
        <w:t xml:space="preserve"> noting government enforcement agencies are unlikely to be significantly affected by this option.</w:t>
      </w:r>
    </w:p>
    <w:p w14:paraId="7F039718" w14:textId="7E3784A7" w:rsidR="00F576EB" w:rsidRPr="004C6424" w:rsidRDefault="00F576EB" w:rsidP="00D40130">
      <w:pPr>
        <w:pStyle w:val="Heading3"/>
        <w:numPr>
          <w:ilvl w:val="2"/>
          <w:numId w:val="23"/>
        </w:numPr>
      </w:pPr>
      <w:bookmarkStart w:id="130" w:name="_Toc86240849"/>
      <w:r w:rsidRPr="004C6424">
        <w:t>Conclusions from cost benefit considerations</w:t>
      </w:r>
      <w:bookmarkEnd w:id="130"/>
    </w:p>
    <w:p w14:paraId="700E36BD" w14:textId="6B617172" w:rsidR="00F576EB" w:rsidRDefault="00F576EB" w:rsidP="003648E6">
      <w:pPr>
        <w:widowControl/>
        <w:spacing w:before="120" w:after="120"/>
        <w:rPr>
          <w:bCs/>
        </w:rPr>
      </w:pPr>
      <w:r w:rsidRPr="00E929E9">
        <w:rPr>
          <w:bCs/>
        </w:rPr>
        <w:t>FSANZ’</w:t>
      </w:r>
      <w:r>
        <w:rPr>
          <w:bCs/>
        </w:rPr>
        <w:t>s</w:t>
      </w:r>
      <w:r w:rsidRPr="00E929E9">
        <w:rPr>
          <w:bCs/>
        </w:rPr>
        <w:t xml:space="preserve"> assessment is that the direct and indirect benefits that would arise from </w:t>
      </w:r>
      <w:r>
        <w:rPr>
          <w:bCs/>
        </w:rPr>
        <w:t xml:space="preserve">both </w:t>
      </w:r>
      <w:r w:rsidRPr="00906194">
        <w:rPr>
          <w:bCs/>
        </w:rPr>
        <w:t>Options</w:t>
      </w:r>
      <w:r>
        <w:rPr>
          <w:bCs/>
        </w:rPr>
        <w:t> 2 and 3</w:t>
      </w:r>
      <w:r>
        <w:rPr>
          <w:rFonts w:cs="Arial"/>
          <w:bCs/>
          <w:szCs w:val="22"/>
        </w:rPr>
        <w:t xml:space="preserve">, </w:t>
      </w:r>
      <w:r w:rsidRPr="00E929E9">
        <w:rPr>
          <w:bCs/>
        </w:rPr>
        <w:t>most likely outweigh the</w:t>
      </w:r>
      <w:r>
        <w:rPr>
          <w:bCs/>
        </w:rPr>
        <w:t xml:space="preserve"> associated</w:t>
      </w:r>
      <w:r w:rsidRPr="00E929E9">
        <w:rPr>
          <w:bCs/>
        </w:rPr>
        <w:t xml:space="preserve"> costs.</w:t>
      </w:r>
      <w:r w:rsidR="00313E0B">
        <w:rPr>
          <w:bCs/>
        </w:rPr>
        <w:t xml:space="preserve"> </w:t>
      </w:r>
    </w:p>
    <w:p w14:paraId="7E5D4302" w14:textId="04A85325" w:rsidR="00F576EB" w:rsidRDefault="00F576EB" w:rsidP="00313E0B">
      <w:pPr>
        <w:widowControl/>
        <w:spacing w:before="120" w:after="120"/>
      </w:pPr>
      <w:r>
        <w:rPr>
          <w:bCs/>
        </w:rPr>
        <w:t>However, Option 3 provides more flexibility for industry</w:t>
      </w:r>
      <w:r w:rsidR="00570C8B">
        <w:rPr>
          <w:bCs/>
        </w:rPr>
        <w:t xml:space="preserve"> and places </w:t>
      </w:r>
      <w:r>
        <w:rPr>
          <w:bCs/>
        </w:rPr>
        <w:t xml:space="preserve">no further burden on enforcement agencies than </w:t>
      </w:r>
      <w:r w:rsidR="00570C8B">
        <w:rPr>
          <w:bCs/>
        </w:rPr>
        <w:t xml:space="preserve">required for enforcing permitted </w:t>
      </w:r>
      <w:r>
        <w:rPr>
          <w:bCs/>
        </w:rPr>
        <w:t>methods</w:t>
      </w:r>
      <w:r w:rsidR="00570C8B">
        <w:rPr>
          <w:bCs/>
        </w:rPr>
        <w:t xml:space="preserve"> of analysis</w:t>
      </w:r>
      <w:r>
        <w:rPr>
          <w:bCs/>
        </w:rPr>
        <w:t xml:space="preserve"> in the Code</w:t>
      </w:r>
      <w:r w:rsidR="00570C8B">
        <w:rPr>
          <w:bCs/>
        </w:rPr>
        <w:t>.</w:t>
      </w:r>
      <w:r>
        <w:rPr>
          <w:bCs/>
        </w:rPr>
        <w:t xml:space="preserve"> </w:t>
      </w:r>
      <w:r w:rsidR="00570C8B">
        <w:rPr>
          <w:bCs/>
        </w:rPr>
        <w:t>On</w:t>
      </w:r>
      <w:r w:rsidRPr="00906194">
        <w:rPr>
          <w:bCs/>
        </w:rPr>
        <w:t xml:space="preserve"> balance</w:t>
      </w:r>
      <w:r w:rsidR="00570C8B">
        <w:rPr>
          <w:bCs/>
        </w:rPr>
        <w:t>, Option 3</w:t>
      </w:r>
      <w:r w:rsidRPr="00906194">
        <w:rPr>
          <w:bCs/>
        </w:rPr>
        <w:t xml:space="preserve"> </w:t>
      </w:r>
      <w:r>
        <w:rPr>
          <w:bCs/>
        </w:rPr>
        <w:t xml:space="preserve">is likely to provide the greatest net </w:t>
      </w:r>
      <w:r w:rsidRPr="00906194">
        <w:rPr>
          <w:bCs/>
        </w:rPr>
        <w:t>benefi</w:t>
      </w:r>
      <w:r>
        <w:rPr>
          <w:bCs/>
        </w:rPr>
        <w:t>t</w:t>
      </w:r>
      <w:r w:rsidRPr="00906194">
        <w:rPr>
          <w:bCs/>
        </w:rPr>
        <w:t>.</w:t>
      </w:r>
      <w:r w:rsidR="00313E0B">
        <w:rPr>
          <w:bCs/>
        </w:rPr>
        <w:t xml:space="preserve"> </w:t>
      </w:r>
    </w:p>
    <w:p w14:paraId="494870A6" w14:textId="421A2023" w:rsidR="002C1A3B" w:rsidRPr="00B54C28" w:rsidRDefault="002C1A3B" w:rsidP="00D40130">
      <w:pPr>
        <w:pStyle w:val="Heading3"/>
        <w:numPr>
          <w:ilvl w:val="2"/>
          <w:numId w:val="23"/>
        </w:numPr>
      </w:pPr>
      <w:bookmarkStart w:id="131" w:name="_Toc86240850"/>
      <w:r w:rsidRPr="00B54C28">
        <w:t>Other measures</w:t>
      </w:r>
      <w:bookmarkEnd w:id="131"/>
    </w:p>
    <w:p w14:paraId="58E16516" w14:textId="2E6EBCA7" w:rsidR="00F576EB" w:rsidRPr="004D60AC" w:rsidRDefault="00F576EB" w:rsidP="003648E6">
      <w:pPr>
        <w:widowControl/>
        <w:spacing w:before="120" w:after="120"/>
        <w:rPr>
          <w:rFonts w:cs="Arial"/>
          <w:szCs w:val="22"/>
        </w:rPr>
      </w:pPr>
      <w:r w:rsidRPr="004D60AC">
        <w:rPr>
          <w:rFonts w:cs="Arial"/>
          <w:szCs w:val="22"/>
        </w:rPr>
        <w:t xml:space="preserve">There are no other measures (whether available to FSANZ or not) that would be more cost-effective than a food regulatory measure developed or varied as a result of the </w:t>
      </w:r>
      <w:r w:rsidR="008318A8">
        <w:rPr>
          <w:rFonts w:cs="Arial"/>
          <w:szCs w:val="22"/>
        </w:rPr>
        <w:t>a</w:t>
      </w:r>
      <w:r w:rsidRPr="004D60AC">
        <w:rPr>
          <w:rFonts w:cs="Arial"/>
          <w:szCs w:val="22"/>
        </w:rPr>
        <w:t>pplication.</w:t>
      </w:r>
    </w:p>
    <w:p w14:paraId="258883E6" w14:textId="206F4DA5" w:rsidR="002C1A3B" w:rsidRPr="002F1B3C" w:rsidRDefault="002C1A3B" w:rsidP="00D40130">
      <w:pPr>
        <w:pStyle w:val="Heading3"/>
        <w:numPr>
          <w:ilvl w:val="2"/>
          <w:numId w:val="23"/>
        </w:numPr>
      </w:pPr>
      <w:bookmarkStart w:id="132" w:name="_Toc86240851"/>
      <w:r w:rsidRPr="002F1B3C">
        <w:t>Any relevant New Zealand standards</w:t>
      </w:r>
      <w:bookmarkEnd w:id="132"/>
    </w:p>
    <w:p w14:paraId="39440A28" w14:textId="77777777" w:rsidR="008318A8" w:rsidRDefault="008318A8" w:rsidP="008318A8">
      <w:pPr>
        <w:widowControl/>
        <w:jc w:val="both"/>
        <w:rPr>
          <w:lang w:bidi="ar-SA"/>
        </w:rPr>
      </w:pPr>
      <w:r>
        <w:rPr>
          <w:lang w:bidi="ar-SA"/>
        </w:rPr>
        <w:t>The relevant standards apply in both Australia and New Zealand. There are no relevant New Zealand only standards.</w:t>
      </w:r>
    </w:p>
    <w:p w14:paraId="7F047EB0" w14:textId="1F66570D" w:rsidR="002C1A3B" w:rsidRPr="002F1B3C" w:rsidRDefault="002C1A3B" w:rsidP="00D40130">
      <w:pPr>
        <w:pStyle w:val="Heading3"/>
        <w:numPr>
          <w:ilvl w:val="2"/>
          <w:numId w:val="23"/>
        </w:numPr>
      </w:pPr>
      <w:bookmarkStart w:id="133" w:name="_Toc86240852"/>
      <w:r w:rsidRPr="002F1B3C">
        <w:t>Any other relevant matters</w:t>
      </w:r>
      <w:bookmarkEnd w:id="133"/>
    </w:p>
    <w:p w14:paraId="46D91378" w14:textId="77777777" w:rsidR="001F7F63" w:rsidRDefault="001F7F63" w:rsidP="003648E6">
      <w:pPr>
        <w:spacing w:before="120" w:after="120"/>
        <w:rPr>
          <w:lang w:bidi="ar-SA"/>
        </w:rPr>
      </w:pPr>
      <w:bookmarkStart w:id="134" w:name="_Toc370223479"/>
      <w:bookmarkStart w:id="135" w:name="_Toc370225394"/>
      <w:bookmarkStart w:id="136" w:name="_Toc300761897"/>
      <w:bookmarkStart w:id="137" w:name="_Toc300933440"/>
      <w:r>
        <w:t>Other relevant matters are considered below</w:t>
      </w:r>
      <w:r>
        <w:rPr>
          <w:lang w:bidi="ar-SA"/>
        </w:rPr>
        <w:t>.</w:t>
      </w:r>
      <w:r>
        <w:t xml:space="preserve"> </w:t>
      </w:r>
    </w:p>
    <w:p w14:paraId="10CCAF40" w14:textId="1A8DC364" w:rsidR="002C1A3B" w:rsidRPr="002C1A3B" w:rsidRDefault="002C1A3B" w:rsidP="00D40130">
      <w:pPr>
        <w:pStyle w:val="Heading2"/>
        <w:numPr>
          <w:ilvl w:val="1"/>
          <w:numId w:val="23"/>
        </w:numPr>
      </w:pPr>
      <w:bookmarkStart w:id="138" w:name="_Toc86240853"/>
      <w:r w:rsidRPr="002C1A3B">
        <w:t>Subsection 18(1)</w:t>
      </w:r>
      <w:bookmarkEnd w:id="134"/>
      <w:bookmarkEnd w:id="135"/>
      <w:bookmarkEnd w:id="138"/>
      <w:r w:rsidRPr="002C1A3B">
        <w:t xml:space="preserve"> </w:t>
      </w:r>
      <w:bookmarkEnd w:id="136"/>
      <w:bookmarkEnd w:id="137"/>
    </w:p>
    <w:p w14:paraId="176BD6C3" w14:textId="77777777" w:rsidR="002C1A3B" w:rsidRPr="002C1A3B" w:rsidRDefault="002C1A3B" w:rsidP="003648E6">
      <w:pPr>
        <w:spacing w:before="120" w:after="120"/>
      </w:pPr>
      <w:r w:rsidRPr="002C1A3B">
        <w:rPr>
          <w:rFonts w:cs="Arial"/>
        </w:rPr>
        <w:t xml:space="preserve">FSANZ has also </w:t>
      </w:r>
      <w:r w:rsidRPr="002C1A3B">
        <w:t>considered the three objectives in subsection 18(1) of the FSANZ Act during the assessment.</w:t>
      </w:r>
    </w:p>
    <w:p w14:paraId="1F1AA646" w14:textId="6EA954FB" w:rsidR="002C1A3B" w:rsidRPr="002F1B3C" w:rsidRDefault="002C1A3B" w:rsidP="00D40130">
      <w:pPr>
        <w:pStyle w:val="ListParagraph"/>
        <w:numPr>
          <w:ilvl w:val="0"/>
          <w:numId w:val="16"/>
        </w:numPr>
        <w:rPr>
          <w:b/>
        </w:rPr>
      </w:pPr>
      <w:bookmarkStart w:id="139" w:name="_Toc297029117"/>
      <w:bookmarkStart w:id="140" w:name="_Toc300761898"/>
      <w:bookmarkStart w:id="141" w:name="_Toc300933441"/>
      <w:r w:rsidRPr="002F1B3C">
        <w:rPr>
          <w:b/>
        </w:rPr>
        <w:lastRenderedPageBreak/>
        <w:t>Protection of public health and safety</w:t>
      </w:r>
      <w:bookmarkEnd w:id="139"/>
      <w:bookmarkEnd w:id="140"/>
      <w:bookmarkEnd w:id="141"/>
    </w:p>
    <w:p w14:paraId="26DCDF49" w14:textId="25D10ED1" w:rsidR="008318A8" w:rsidRPr="00D01A05" w:rsidRDefault="00D27AFF" w:rsidP="003648E6">
      <w:pPr>
        <w:widowControl/>
        <w:spacing w:before="120" w:after="120"/>
        <w:rPr>
          <w:rFonts w:cs="Arial"/>
          <w:szCs w:val="22"/>
        </w:rPr>
      </w:pPr>
      <w:bookmarkStart w:id="142" w:name="_Toc300761899"/>
      <w:bookmarkStart w:id="143" w:name="_Toc300933442"/>
      <w:r>
        <w:rPr>
          <w:rFonts w:cs="Arial"/>
          <w:szCs w:val="22"/>
        </w:rPr>
        <w:t>There is no risk to public health and safety as a result of the proposed permission for AOAC 2017.16 as an alternative method of analysis in the Code for total dietary fibre.</w:t>
      </w:r>
    </w:p>
    <w:p w14:paraId="5616BD60" w14:textId="221A15C1" w:rsidR="002C1A3B" w:rsidRPr="002F1B3C" w:rsidRDefault="002C1A3B" w:rsidP="00D40130">
      <w:pPr>
        <w:pStyle w:val="ListParagraph"/>
        <w:numPr>
          <w:ilvl w:val="0"/>
          <w:numId w:val="16"/>
        </w:numPr>
        <w:rPr>
          <w:b/>
        </w:rPr>
      </w:pPr>
      <w:r w:rsidRPr="002F1B3C">
        <w:rPr>
          <w:b/>
        </w:rPr>
        <w:t>The provision of adequate information relating to food to enable consumers to make informed choices</w:t>
      </w:r>
      <w:bookmarkEnd w:id="142"/>
      <w:bookmarkEnd w:id="143"/>
    </w:p>
    <w:p w14:paraId="2AA251CA" w14:textId="7DCA2114" w:rsidR="00D27AFF" w:rsidRDefault="008318A8" w:rsidP="003648E6">
      <w:pPr>
        <w:widowControl/>
        <w:spacing w:before="120" w:after="120"/>
        <w:rPr>
          <w:rFonts w:cs="Arial"/>
          <w:szCs w:val="22"/>
        </w:rPr>
      </w:pPr>
      <w:bookmarkStart w:id="144" w:name="_Toc300761900"/>
      <w:bookmarkStart w:id="145" w:name="_Toc300933443"/>
      <w:r>
        <w:rPr>
          <w:rFonts w:cs="Arial"/>
          <w:szCs w:val="22"/>
        </w:rPr>
        <w:t>Existing labelling requirements will continue to ensure that c</w:t>
      </w:r>
      <w:r w:rsidR="00D27AFF">
        <w:rPr>
          <w:rFonts w:cs="Arial"/>
          <w:szCs w:val="22"/>
        </w:rPr>
        <w:t xml:space="preserve">onsumers </w:t>
      </w:r>
      <w:r>
        <w:rPr>
          <w:rFonts w:cs="Arial"/>
          <w:szCs w:val="22"/>
        </w:rPr>
        <w:t>are</w:t>
      </w:r>
      <w:r w:rsidR="00D27AFF">
        <w:rPr>
          <w:rFonts w:cs="Arial"/>
          <w:szCs w:val="22"/>
        </w:rPr>
        <w:t xml:space="preserve"> provided</w:t>
      </w:r>
      <w:r>
        <w:rPr>
          <w:rFonts w:cs="Arial"/>
          <w:szCs w:val="22"/>
        </w:rPr>
        <w:t xml:space="preserve"> with</w:t>
      </w:r>
      <w:r w:rsidR="00D27AFF">
        <w:rPr>
          <w:rFonts w:cs="Arial"/>
          <w:szCs w:val="22"/>
        </w:rPr>
        <w:t xml:space="preserve"> adequate information relating to the dietary fibre content of f</w:t>
      </w:r>
      <w:r w:rsidR="002F1B3C">
        <w:rPr>
          <w:rFonts w:cs="Arial"/>
          <w:szCs w:val="22"/>
        </w:rPr>
        <w:t>ood to enable informed choices.</w:t>
      </w:r>
    </w:p>
    <w:p w14:paraId="645283E6" w14:textId="437DABEF" w:rsidR="002C1A3B" w:rsidRPr="002F1B3C" w:rsidRDefault="002C1A3B" w:rsidP="00D40130">
      <w:pPr>
        <w:pStyle w:val="ListParagraph"/>
        <w:numPr>
          <w:ilvl w:val="0"/>
          <w:numId w:val="16"/>
        </w:numPr>
        <w:rPr>
          <w:b/>
        </w:rPr>
      </w:pPr>
      <w:r w:rsidRPr="002F1B3C">
        <w:rPr>
          <w:b/>
        </w:rPr>
        <w:t>The prevention of misleading or deceptive conduct</w:t>
      </w:r>
      <w:bookmarkEnd w:id="144"/>
      <w:bookmarkEnd w:id="145"/>
    </w:p>
    <w:p w14:paraId="61120F21" w14:textId="1643EB9F" w:rsidR="008318A8" w:rsidRPr="0038130A" w:rsidRDefault="006C20C7" w:rsidP="00A85C60">
      <w:pPr>
        <w:widowControl/>
        <w:spacing w:before="120" w:after="120"/>
        <w:rPr>
          <w:rFonts w:cs="Arial"/>
          <w:szCs w:val="22"/>
        </w:rPr>
      </w:pPr>
      <w:bookmarkStart w:id="146" w:name="_Toc300761901"/>
      <w:bookmarkStart w:id="147" w:name="_Toc300933444"/>
      <w:bookmarkStart w:id="148" w:name="_Toc370223480"/>
      <w:bookmarkStart w:id="149" w:name="_Toc370225395"/>
      <w:r>
        <w:rPr>
          <w:rFonts w:cs="Arial"/>
          <w:szCs w:val="22"/>
        </w:rPr>
        <w:t xml:space="preserve">FSANZ undertook additional consultation with government agencies and industry, </w:t>
      </w:r>
      <w:r w:rsidR="00610BFD">
        <w:rPr>
          <w:rFonts w:cs="Arial"/>
          <w:szCs w:val="22"/>
        </w:rPr>
        <w:t>retaining the</w:t>
      </w:r>
      <w:r>
        <w:rPr>
          <w:rFonts w:cs="Arial"/>
          <w:szCs w:val="22"/>
        </w:rPr>
        <w:t xml:space="preserve"> conclusion that </w:t>
      </w:r>
      <w:r w:rsidRPr="0038130A">
        <w:rPr>
          <w:rFonts w:cs="Arial"/>
          <w:szCs w:val="22"/>
        </w:rPr>
        <w:t xml:space="preserve">no issues </w:t>
      </w:r>
      <w:r>
        <w:rPr>
          <w:rFonts w:cs="Arial"/>
          <w:szCs w:val="22"/>
        </w:rPr>
        <w:t xml:space="preserve">were </w:t>
      </w:r>
      <w:r w:rsidRPr="0038130A">
        <w:rPr>
          <w:rFonts w:cs="Arial"/>
          <w:szCs w:val="22"/>
        </w:rPr>
        <w:t>identified with this application relevant to this objective.</w:t>
      </w:r>
    </w:p>
    <w:p w14:paraId="7183F1D0" w14:textId="362A0CD3" w:rsidR="002C1A3B" w:rsidRPr="00B54C28" w:rsidRDefault="002C1A3B" w:rsidP="00D40130">
      <w:pPr>
        <w:pStyle w:val="Heading2"/>
        <w:numPr>
          <w:ilvl w:val="1"/>
          <w:numId w:val="23"/>
        </w:numPr>
      </w:pPr>
      <w:bookmarkStart w:id="150" w:name="_Toc86240854"/>
      <w:r w:rsidRPr="00B54C28">
        <w:t xml:space="preserve">Subsection 18(2) </w:t>
      </w:r>
      <w:bookmarkEnd w:id="146"/>
      <w:bookmarkEnd w:id="147"/>
      <w:r w:rsidRPr="00B54C28">
        <w:t>considerations</w:t>
      </w:r>
      <w:bookmarkEnd w:id="148"/>
      <w:bookmarkEnd w:id="149"/>
      <w:bookmarkEnd w:id="150"/>
    </w:p>
    <w:p w14:paraId="5F14C06E" w14:textId="20C8A18C" w:rsidR="002C1A3B" w:rsidRPr="002C1A3B" w:rsidRDefault="002C1A3B" w:rsidP="003648E6">
      <w:pPr>
        <w:spacing w:before="120" w:after="120"/>
        <w:rPr>
          <w:rFonts w:cs="Arial"/>
        </w:rPr>
      </w:pPr>
      <w:r w:rsidRPr="002C1A3B">
        <w:rPr>
          <w:rFonts w:cs="Arial"/>
        </w:rPr>
        <w:t>FSANZ has also h</w:t>
      </w:r>
      <w:r w:rsidR="003648E6">
        <w:rPr>
          <w:rFonts w:cs="Arial"/>
        </w:rPr>
        <w:t>ad regard to:</w:t>
      </w:r>
    </w:p>
    <w:p w14:paraId="0D10F662" w14:textId="5C78B538" w:rsidR="002C1A3B" w:rsidRPr="003648E6" w:rsidRDefault="002C1A3B" w:rsidP="00D40130">
      <w:pPr>
        <w:pStyle w:val="FSBullet1"/>
        <w:numPr>
          <w:ilvl w:val="0"/>
          <w:numId w:val="16"/>
        </w:numPr>
        <w:spacing w:before="120" w:after="120"/>
        <w:rPr>
          <w:b/>
        </w:rPr>
      </w:pPr>
      <w:r w:rsidRPr="002C1A3B">
        <w:rPr>
          <w:b/>
        </w:rPr>
        <w:t>the need for standards to be based on risk analysis using the best available scientific evidence</w:t>
      </w:r>
    </w:p>
    <w:p w14:paraId="318371CE" w14:textId="5CCEA645" w:rsidR="00724B8F" w:rsidRPr="004D60AC" w:rsidRDefault="00F576EB" w:rsidP="003648E6">
      <w:pPr>
        <w:widowControl/>
        <w:spacing w:before="120" w:after="120"/>
        <w:rPr>
          <w:rFonts w:cs="Arial"/>
          <w:szCs w:val="22"/>
          <w:lang w:bidi="ar-SA"/>
        </w:rPr>
      </w:pPr>
      <w:r>
        <w:rPr>
          <w:rFonts w:cs="Arial"/>
          <w:szCs w:val="22"/>
          <w:lang w:bidi="ar-SA"/>
        </w:rPr>
        <w:t>FSANZ consider</w:t>
      </w:r>
      <w:r w:rsidR="00724B8F">
        <w:rPr>
          <w:rFonts w:cs="Arial"/>
          <w:szCs w:val="22"/>
          <w:lang w:bidi="ar-SA"/>
        </w:rPr>
        <w:t>ed</w:t>
      </w:r>
      <w:r>
        <w:rPr>
          <w:rFonts w:cs="Arial"/>
          <w:szCs w:val="22"/>
          <w:lang w:bidi="ar-SA"/>
        </w:rPr>
        <w:t xml:space="preserve"> the best available scientific evidence in assessing AOAC 2017.16. FSANZ reviewed data and information provided by the </w:t>
      </w:r>
      <w:r w:rsidR="0082559D">
        <w:rPr>
          <w:rFonts w:cs="Arial"/>
          <w:szCs w:val="22"/>
          <w:lang w:bidi="ar-SA"/>
        </w:rPr>
        <w:t>Applicant</w:t>
      </w:r>
      <w:r>
        <w:rPr>
          <w:rFonts w:cs="Arial"/>
          <w:szCs w:val="22"/>
          <w:lang w:bidi="ar-SA"/>
        </w:rPr>
        <w:t xml:space="preserve">, </w:t>
      </w:r>
      <w:r w:rsidR="00DB057A">
        <w:rPr>
          <w:rFonts w:cs="Arial"/>
          <w:szCs w:val="22"/>
          <w:lang w:bidi="ar-SA"/>
        </w:rPr>
        <w:t xml:space="preserve">submitters, </w:t>
      </w:r>
      <w:r w:rsidR="00724B8F">
        <w:rPr>
          <w:rFonts w:cs="Arial"/>
          <w:szCs w:val="22"/>
          <w:lang w:bidi="ar-SA"/>
        </w:rPr>
        <w:t xml:space="preserve">key </w:t>
      </w:r>
      <w:r>
        <w:rPr>
          <w:rFonts w:cs="Arial"/>
          <w:szCs w:val="22"/>
          <w:lang w:bidi="ar-SA"/>
        </w:rPr>
        <w:t>stakeholders and identified other relevant scientific literature where appropriate</w:t>
      </w:r>
      <w:r w:rsidR="00D84C3C">
        <w:rPr>
          <w:rFonts w:cs="Arial"/>
          <w:szCs w:val="22"/>
          <w:lang w:bidi="ar-SA"/>
        </w:rPr>
        <w:t>, including undertaking a meta-analysis to consider the effect of GOS on the</w:t>
      </w:r>
      <w:r w:rsidR="00724B8F">
        <w:rPr>
          <w:rFonts w:cs="Arial"/>
          <w:szCs w:val="22"/>
          <w:lang w:bidi="ar-SA"/>
        </w:rPr>
        <w:t xml:space="preserve"> Code’s</w:t>
      </w:r>
      <w:r w:rsidR="00D84C3C">
        <w:rPr>
          <w:rFonts w:cs="Arial"/>
          <w:szCs w:val="22"/>
          <w:lang w:bidi="ar-SA"/>
        </w:rPr>
        <w:t xml:space="preserve"> three listed beneficial physiological effects</w:t>
      </w:r>
      <w:r>
        <w:rPr>
          <w:rFonts w:cs="Arial"/>
          <w:szCs w:val="22"/>
          <w:lang w:bidi="ar-SA"/>
        </w:rPr>
        <w:t xml:space="preserve">. </w:t>
      </w:r>
    </w:p>
    <w:p w14:paraId="4C644B5E" w14:textId="57870FBD" w:rsidR="00F576EB" w:rsidRPr="003648E6" w:rsidRDefault="002C1A3B" w:rsidP="00D40130">
      <w:pPr>
        <w:pStyle w:val="FSBullet1"/>
        <w:numPr>
          <w:ilvl w:val="0"/>
          <w:numId w:val="16"/>
        </w:numPr>
        <w:spacing w:before="120" w:after="120"/>
        <w:rPr>
          <w:b/>
        </w:rPr>
      </w:pPr>
      <w:r w:rsidRPr="002C1A3B">
        <w:rPr>
          <w:b/>
        </w:rPr>
        <w:t>the promotion of consistency between domestic a</w:t>
      </w:r>
      <w:r w:rsidR="003648E6">
        <w:rPr>
          <w:b/>
        </w:rPr>
        <w:t>nd international food standards</w:t>
      </w:r>
    </w:p>
    <w:p w14:paraId="51C9FD4A" w14:textId="0E1CDA9A" w:rsidR="00724B8F" w:rsidRDefault="00F576EB" w:rsidP="003648E6">
      <w:pPr>
        <w:pStyle w:val="FSBullet1"/>
        <w:numPr>
          <w:ilvl w:val="0"/>
          <w:numId w:val="0"/>
        </w:numPr>
        <w:spacing w:before="120" w:after="120"/>
        <w:rPr>
          <w:lang w:eastAsia="en-AU"/>
        </w:rPr>
      </w:pPr>
      <w:r>
        <w:rPr>
          <w:lang w:eastAsia="en-AU"/>
        </w:rPr>
        <w:t xml:space="preserve">FSANZ considered how other countries regulate dietary fibre, with a particular interest in </w:t>
      </w:r>
      <w:r w:rsidR="00D27AFF">
        <w:rPr>
          <w:lang w:eastAsia="en-AU"/>
        </w:rPr>
        <w:t>adopted methods of analysis and</w:t>
      </w:r>
      <w:r>
        <w:rPr>
          <w:lang w:eastAsia="en-AU"/>
        </w:rPr>
        <w:t xml:space="preserve"> beneficial physiological effects</w:t>
      </w:r>
      <w:r w:rsidR="00724B8F">
        <w:rPr>
          <w:lang w:eastAsia="en-AU"/>
        </w:rPr>
        <w:t>, as discussed in s</w:t>
      </w:r>
      <w:r>
        <w:rPr>
          <w:lang w:eastAsia="en-AU"/>
        </w:rPr>
        <w:t xml:space="preserve">ection </w:t>
      </w:r>
      <w:r w:rsidR="004F7C8E">
        <w:rPr>
          <w:lang w:eastAsia="en-AU"/>
        </w:rPr>
        <w:fldChar w:fldCharType="begin"/>
      </w:r>
      <w:r w:rsidR="004F7C8E">
        <w:rPr>
          <w:lang w:eastAsia="en-AU"/>
        </w:rPr>
        <w:instrText xml:space="preserve"> REF _Ref73604109 \r \h </w:instrText>
      </w:r>
      <w:r w:rsidR="004F7C8E">
        <w:rPr>
          <w:lang w:eastAsia="en-AU"/>
        </w:rPr>
      </w:r>
      <w:r w:rsidR="004F7C8E">
        <w:rPr>
          <w:lang w:eastAsia="en-AU"/>
        </w:rPr>
        <w:fldChar w:fldCharType="separate"/>
      </w:r>
      <w:r w:rsidR="00B316B9">
        <w:rPr>
          <w:lang w:eastAsia="en-AU"/>
        </w:rPr>
        <w:t>1.4</w:t>
      </w:r>
      <w:r w:rsidR="004F7C8E">
        <w:rPr>
          <w:lang w:eastAsia="en-AU"/>
        </w:rPr>
        <w:fldChar w:fldCharType="end"/>
      </w:r>
      <w:r>
        <w:rPr>
          <w:lang w:eastAsia="en-AU"/>
        </w:rPr>
        <w:t xml:space="preserve">. </w:t>
      </w:r>
      <w:r w:rsidR="004109EF" w:rsidRPr="00231EDF">
        <w:t xml:space="preserve">Codex </w:t>
      </w:r>
      <w:r w:rsidR="004109EF">
        <w:t xml:space="preserve">is likely to adopt </w:t>
      </w:r>
      <w:r w:rsidR="004109EF">
        <w:rPr>
          <w:bCs/>
        </w:rPr>
        <w:t>AOAC 2017.16 in place of AOAC 2009.01</w:t>
      </w:r>
      <w:r w:rsidR="004109EF">
        <w:t xml:space="preserve"> (for action at CAC44 in November 2021)</w:t>
      </w:r>
      <w:r w:rsidR="004109EF" w:rsidRPr="00231EDF">
        <w:t>.</w:t>
      </w:r>
    </w:p>
    <w:p w14:paraId="3EAC203A" w14:textId="0A78C149" w:rsidR="00F576EB" w:rsidRDefault="00F576EB" w:rsidP="003648E6">
      <w:pPr>
        <w:pStyle w:val="FSBullet1"/>
        <w:numPr>
          <w:ilvl w:val="0"/>
          <w:numId w:val="0"/>
        </w:numPr>
        <w:spacing w:before="120" w:after="120"/>
        <w:rPr>
          <w:lang w:eastAsia="en-AU"/>
        </w:rPr>
      </w:pPr>
      <w:r>
        <w:rPr>
          <w:lang w:eastAsia="en-AU"/>
        </w:rPr>
        <w:t>In all comparable countries reviewed,</w:t>
      </w:r>
      <w:r w:rsidR="00D27AFF">
        <w:rPr>
          <w:lang w:eastAsia="en-AU"/>
        </w:rPr>
        <w:t xml:space="preserve"> at least AOAC 2009.01 has been adopted and</w:t>
      </w:r>
      <w:r>
        <w:rPr>
          <w:lang w:eastAsia="en-AU"/>
        </w:rPr>
        <w:t xml:space="preserve"> </w:t>
      </w:r>
      <w:r w:rsidR="00D84C3C">
        <w:rPr>
          <w:lang w:eastAsia="en-AU"/>
        </w:rPr>
        <w:t>substances measured by AOAC 2017.16 are generally considered</w:t>
      </w:r>
      <w:r>
        <w:rPr>
          <w:lang w:eastAsia="en-AU"/>
        </w:rPr>
        <w:t xml:space="preserve"> dietary fibre</w:t>
      </w:r>
      <w:r w:rsidR="00D84C3C">
        <w:rPr>
          <w:lang w:eastAsia="en-AU"/>
        </w:rPr>
        <w:t xml:space="preserve">s based on </w:t>
      </w:r>
      <w:r>
        <w:rPr>
          <w:lang w:eastAsia="en-AU"/>
        </w:rPr>
        <w:t>beneficial physiological effects recognised under that country’s dietary fibre definition.</w:t>
      </w:r>
      <w:r w:rsidR="00EF7C0E">
        <w:rPr>
          <w:lang w:eastAsia="en-AU"/>
        </w:rPr>
        <w:t xml:space="preserve"> Permitting AOAC 2017.16 with therefore promote consistency between domestic and international food standards.</w:t>
      </w:r>
    </w:p>
    <w:p w14:paraId="5D0293BD" w14:textId="59569B05" w:rsidR="002C1A3B" w:rsidRPr="003648E6" w:rsidRDefault="002C1A3B" w:rsidP="00D40130">
      <w:pPr>
        <w:pStyle w:val="FSBullet1"/>
        <w:numPr>
          <w:ilvl w:val="0"/>
          <w:numId w:val="16"/>
        </w:numPr>
        <w:spacing w:before="120" w:after="120"/>
        <w:rPr>
          <w:b/>
        </w:rPr>
      </w:pPr>
      <w:r w:rsidRPr="002C1A3B">
        <w:rPr>
          <w:b/>
        </w:rPr>
        <w:t>the desirability of an efficient and internationally competitive food industry</w:t>
      </w:r>
    </w:p>
    <w:p w14:paraId="009C0B30" w14:textId="103F1E65" w:rsidR="00F576EB" w:rsidRPr="004D60AC" w:rsidRDefault="00F576EB" w:rsidP="003648E6">
      <w:pPr>
        <w:widowControl/>
        <w:spacing w:before="120" w:after="120"/>
        <w:rPr>
          <w:rFonts w:cs="Arial"/>
          <w:szCs w:val="22"/>
          <w:lang w:bidi="ar-SA"/>
        </w:rPr>
      </w:pPr>
      <w:r>
        <w:t>Permitting AOAC 2017.16 will ensure that Australia and New Zealand can maintain an efficient and internationally competitive food industry for the analysis for dietary fibre.</w:t>
      </w:r>
    </w:p>
    <w:p w14:paraId="03A28343" w14:textId="7A52D8E8" w:rsidR="002C1A3B" w:rsidRPr="003648E6" w:rsidRDefault="002C1A3B" w:rsidP="00D40130">
      <w:pPr>
        <w:pStyle w:val="FSBullet1"/>
        <w:numPr>
          <w:ilvl w:val="0"/>
          <w:numId w:val="16"/>
        </w:numPr>
        <w:spacing w:before="120" w:after="120"/>
        <w:rPr>
          <w:b/>
        </w:rPr>
      </w:pPr>
      <w:r w:rsidRPr="002C1A3B">
        <w:rPr>
          <w:b/>
        </w:rPr>
        <w:t>the promotion of fair trading in food</w:t>
      </w:r>
    </w:p>
    <w:p w14:paraId="55A87481" w14:textId="1CB35753" w:rsidR="00F576EB" w:rsidRPr="00C54636" w:rsidRDefault="00872C48" w:rsidP="003648E6">
      <w:pPr>
        <w:widowControl/>
        <w:spacing w:before="120" w:after="120"/>
      </w:pPr>
      <w:r>
        <w:rPr>
          <w:lang w:bidi="ar-SA"/>
        </w:rPr>
        <w:t xml:space="preserve">Permitting </w:t>
      </w:r>
      <w:r w:rsidR="00F576EB" w:rsidRPr="00A15FA0">
        <w:t xml:space="preserve">AOAC </w:t>
      </w:r>
      <w:r w:rsidR="00F576EB">
        <w:t xml:space="preserve">2017.16 as an alternative method of analysis for total dietary fibre </w:t>
      </w:r>
      <w:r w:rsidR="00724B8F">
        <w:t xml:space="preserve">will </w:t>
      </w:r>
      <w:r w:rsidR="00F576EB">
        <w:t>promote fair trading in food by allowing relevant foods containing LMWDF to present a more comprehensive</w:t>
      </w:r>
      <w:r w:rsidR="004F7C8E">
        <w:t>,</w:t>
      </w:r>
      <w:r w:rsidR="00F576EB">
        <w:t xml:space="preserve"> and in some instances</w:t>
      </w:r>
      <w:r w:rsidR="004F7C8E">
        <w:t xml:space="preserve"> more</w:t>
      </w:r>
      <w:r w:rsidR="00F576EB">
        <w:t xml:space="preserve"> precise</w:t>
      </w:r>
      <w:r w:rsidR="004F7C8E">
        <w:t>,</w:t>
      </w:r>
      <w:r w:rsidR="00F576EB">
        <w:t xml:space="preserve"> </w:t>
      </w:r>
      <w:r w:rsidR="00D84C3C">
        <w:t xml:space="preserve">dietary fibre </w:t>
      </w:r>
      <w:r w:rsidR="00F576EB">
        <w:t>value than currently permitted methods</w:t>
      </w:r>
      <w:r w:rsidR="00F576EB" w:rsidRPr="00C0474B">
        <w:t xml:space="preserve"> </w:t>
      </w:r>
      <w:r w:rsidR="00F576EB">
        <w:t>for total dietary fibre.</w:t>
      </w:r>
    </w:p>
    <w:p w14:paraId="2CF3A866" w14:textId="6287E90F" w:rsidR="0004610E" w:rsidRPr="000010B7" w:rsidRDefault="002C1A3B" w:rsidP="00D40130">
      <w:pPr>
        <w:pStyle w:val="FSBullet1"/>
        <w:numPr>
          <w:ilvl w:val="0"/>
          <w:numId w:val="16"/>
        </w:numPr>
        <w:spacing w:before="120" w:after="120"/>
        <w:rPr>
          <w:b/>
        </w:rPr>
      </w:pPr>
      <w:r w:rsidRPr="002C1A3B">
        <w:rPr>
          <w:b/>
        </w:rPr>
        <w:t xml:space="preserve">any written policy guidelines formulated by the </w:t>
      </w:r>
      <w:r w:rsidR="002D2E77">
        <w:rPr>
          <w:b/>
        </w:rPr>
        <w:t xml:space="preserve">Food Ministers </w:t>
      </w:r>
      <w:r w:rsidR="00A90C26">
        <w:rPr>
          <w:b/>
        </w:rPr>
        <w:t>M</w:t>
      </w:r>
      <w:r w:rsidR="002D2E77">
        <w:rPr>
          <w:b/>
        </w:rPr>
        <w:t>eeting</w:t>
      </w:r>
      <w:r w:rsidR="00EA2226">
        <w:rPr>
          <w:b/>
        </w:rPr>
        <w:t xml:space="preserve"> on Food Regulation</w:t>
      </w:r>
      <w:bookmarkStart w:id="151" w:name="_Toc11735643"/>
      <w:bookmarkStart w:id="152" w:name="_Toc29883130"/>
      <w:bookmarkStart w:id="153" w:name="_Toc41906817"/>
      <w:bookmarkStart w:id="154" w:name="_Toc41907564"/>
      <w:bookmarkStart w:id="155" w:name="_Toc43112360"/>
      <w:bookmarkEnd w:id="125"/>
    </w:p>
    <w:p w14:paraId="0BE40376" w14:textId="07C74414" w:rsidR="00657E36" w:rsidRPr="0004610E" w:rsidRDefault="002D2E77" w:rsidP="0004610E">
      <w:r>
        <w:t xml:space="preserve">FSANZ has had regard to the </w:t>
      </w:r>
      <w:r w:rsidRPr="002D2E77">
        <w:rPr>
          <w:i/>
        </w:rPr>
        <w:t>Policy Guideline on Food labelling to Support Consumers to Make Informed Healthy Food Choices</w:t>
      </w:r>
      <w:r w:rsidR="0004610E">
        <w:t xml:space="preserve">, noting this guideline </w:t>
      </w:r>
      <w:r w:rsidR="00C348FB">
        <w:t>is not directly relevant</w:t>
      </w:r>
      <w:r w:rsidR="0004610E">
        <w:t xml:space="preserve"> to</w:t>
      </w:r>
      <w:r w:rsidR="00C348FB">
        <w:t xml:space="preserve"> consideration of</w:t>
      </w:r>
      <w:r w:rsidR="0004610E">
        <w:t xml:space="preserve"> a method of analysis that measures a nutrient presented on a food label.</w:t>
      </w:r>
    </w:p>
    <w:p w14:paraId="3FD99ED7" w14:textId="785C83C3" w:rsidR="00657E36" w:rsidRDefault="00657E36">
      <w:pPr>
        <w:widowControl/>
      </w:pPr>
    </w:p>
    <w:p w14:paraId="2E0F5632" w14:textId="2C63FFDF" w:rsidR="002D2E77" w:rsidRDefault="0004610E" w:rsidP="00D40130">
      <w:pPr>
        <w:widowControl/>
        <w:spacing w:after="240"/>
      </w:pPr>
      <w:r>
        <w:lastRenderedPageBreak/>
        <w:t>FSANZ considers</w:t>
      </w:r>
      <w:r w:rsidR="00724B8F">
        <w:t xml:space="preserve"> </w:t>
      </w:r>
      <w:r>
        <w:t xml:space="preserve">that </w:t>
      </w:r>
      <w:r w:rsidR="00724B8F">
        <w:t>in permitting the voluntary use of</w:t>
      </w:r>
      <w:r>
        <w:t xml:space="preserve"> AOAC 2017.16</w:t>
      </w:r>
      <w:r w:rsidR="00724B8F">
        <w:t xml:space="preserve">, </w:t>
      </w:r>
      <w:r w:rsidR="00724B8F" w:rsidRPr="00777ABA">
        <w:rPr>
          <w:rFonts w:cs="Arial"/>
        </w:rPr>
        <w:t xml:space="preserve">consumers will </w:t>
      </w:r>
      <w:r w:rsidR="00724B8F">
        <w:rPr>
          <w:rFonts w:cs="Arial"/>
        </w:rPr>
        <w:t xml:space="preserve">continue to </w:t>
      </w:r>
      <w:r w:rsidR="00724B8F" w:rsidRPr="00777ABA">
        <w:rPr>
          <w:rFonts w:cs="Arial"/>
        </w:rPr>
        <w:t>be provided with adequate information to enable informed choice about dietary fibre in</w:t>
      </w:r>
      <w:r w:rsidR="00724B8F">
        <w:rPr>
          <w:rFonts w:cs="Arial"/>
        </w:rPr>
        <w:t xml:space="preserve"> food products</w:t>
      </w:r>
      <w:r w:rsidR="00E8248E">
        <w:rPr>
          <w:rFonts w:cs="Arial"/>
        </w:rPr>
        <w:t>.</w:t>
      </w:r>
    </w:p>
    <w:p w14:paraId="55D2119E" w14:textId="1AD4F1D2" w:rsidR="001122EC" w:rsidRPr="00876783" w:rsidRDefault="001122EC" w:rsidP="00D40130">
      <w:pPr>
        <w:pStyle w:val="Heading1"/>
        <w:numPr>
          <w:ilvl w:val="0"/>
          <w:numId w:val="23"/>
        </w:numPr>
        <w:spacing w:before="120" w:after="120"/>
      </w:pPr>
      <w:bookmarkStart w:id="156" w:name="_Toc86240855"/>
      <w:r w:rsidRPr="00876783">
        <w:t>R</w:t>
      </w:r>
      <w:r w:rsidR="000B427A" w:rsidRPr="00876783">
        <w:t>eferences</w:t>
      </w:r>
      <w:bookmarkEnd w:id="156"/>
    </w:p>
    <w:p w14:paraId="116C4F6F" w14:textId="5A55B3C4" w:rsidR="00657E36" w:rsidRPr="00657E36" w:rsidRDefault="00657E36" w:rsidP="00657E36">
      <w:pPr>
        <w:widowControl/>
        <w:spacing w:before="240"/>
        <w:rPr>
          <w:rFonts w:cs="Arial"/>
          <w:szCs w:val="22"/>
        </w:rPr>
      </w:pPr>
      <w:r w:rsidRPr="00657E36">
        <w:rPr>
          <w:rFonts w:cs="Arial"/>
          <w:szCs w:val="22"/>
        </w:rPr>
        <w:t>CCMAS (2021) Report of the 41</w:t>
      </w:r>
      <w:r w:rsidRPr="00657E36">
        <w:rPr>
          <w:rFonts w:cs="Arial"/>
          <w:szCs w:val="22"/>
          <w:vertAlign w:val="superscript"/>
        </w:rPr>
        <w:t>st</w:t>
      </w:r>
      <w:r w:rsidRPr="00657E36">
        <w:rPr>
          <w:rFonts w:cs="Arial"/>
          <w:szCs w:val="22"/>
        </w:rPr>
        <w:t xml:space="preserve"> session of the codex committee on methods of analysis and sampling; Virtual 17 – 21 and 25 May 2021. </w:t>
      </w:r>
      <w:r>
        <w:t xml:space="preserve">Codex Alimentarius Commission, Rome/ Available from: </w:t>
      </w:r>
      <w:hyperlink r:id="rId27" w:history="1">
        <w:r w:rsidR="004109EF" w:rsidRPr="00987995">
          <w:rPr>
            <w:rStyle w:val="Hyperlink"/>
          </w:rPr>
          <w:t>http://www.fao.org/fao-who-codexalimentarius/sh-proxy/en/?lnk=1&amp;url=https%253A%252F%252Fworkspace.fao.org%252Fsites%252Fcodex%252FMeetings%252FCX-715-41%252FFinal%252520Report%252FREP21_MASe.pdf</w:t>
        </w:r>
      </w:hyperlink>
      <w:r w:rsidR="004109EF">
        <w:t xml:space="preserve"> </w:t>
      </w:r>
    </w:p>
    <w:p w14:paraId="1C0CAEEB" w14:textId="77777777" w:rsidR="00657E36" w:rsidRDefault="00657E36" w:rsidP="00657E36">
      <w:pPr>
        <w:widowControl/>
        <w:spacing w:before="240"/>
      </w:pPr>
      <w:r w:rsidRPr="00EB2898">
        <w:t xml:space="preserve">CCNFSDU (2019) Proposal for introduction of </w:t>
      </w:r>
      <w:r>
        <w:t>ICC</w:t>
      </w:r>
      <w:r w:rsidRPr="00EB2898">
        <w:t xml:space="preserve"> standard no. 185 (AOAC method 2017.16) to replace AOAC method 2009.01. Codex Alimentarius CODEX </w:t>
      </w:r>
      <w:r>
        <w:t xml:space="preserve">NFSDU/41 CRD 6. Codex Alimentarius Commission, Rome. Available from: </w:t>
      </w:r>
      <w:hyperlink r:id="rId28" w:history="1">
        <w:r w:rsidRPr="00351274">
          <w:rPr>
            <w:rStyle w:val="Hyperlink"/>
          </w:rPr>
          <w:t>http://www.fao.org/fao-who-codexalimentarius/meetings/detail/en/?meeting=CCNFSDU&amp;session=41</w:t>
        </w:r>
      </w:hyperlink>
    </w:p>
    <w:p w14:paraId="2D9F311C" w14:textId="77777777" w:rsidR="00657E36" w:rsidRPr="00657E36" w:rsidRDefault="00657E36" w:rsidP="00657E36">
      <w:pPr>
        <w:widowControl/>
        <w:spacing w:before="240"/>
        <w:rPr>
          <w:szCs w:val="22"/>
        </w:rPr>
      </w:pPr>
      <w:r w:rsidRPr="00657E36">
        <w:rPr>
          <w:szCs w:val="22"/>
        </w:rPr>
        <w:t xml:space="preserve">CCNFSDU (2020) Report of the forty-first session of the Codex Committee on Nutrition and Foods for Special Dietary Uses REP20/NFSDU. Codex </w:t>
      </w:r>
      <w:r w:rsidRPr="00657E36">
        <w:rPr>
          <w:color w:val="000000"/>
          <w:szCs w:val="22"/>
          <w:lang w:eastAsia="en-GB"/>
        </w:rPr>
        <w:t>Alimentarius Commission</w:t>
      </w:r>
      <w:r w:rsidRPr="00657E36">
        <w:rPr>
          <w:szCs w:val="22"/>
        </w:rPr>
        <w:t xml:space="preserve">, Rome. Available from </w:t>
      </w:r>
      <w:hyperlink r:id="rId29" w:history="1">
        <w:r w:rsidRPr="00657E36">
          <w:rPr>
            <w:rStyle w:val="Hyperlink"/>
            <w:szCs w:val="22"/>
          </w:rPr>
          <w:t>http://www.fao.org/fao-who-codexalimentarius/sh-proxy/en/?lnk=1&amp;url=https%253A%252F%252Fworkspace.fao.org%252Fsites%252Fcodex%252FMeetings%252FCX-720-41%252FReport%252FAdoption%252FREP20_NFSDUe.pdf</w:t>
        </w:r>
      </w:hyperlink>
      <w:r w:rsidRPr="00657E36">
        <w:rPr>
          <w:szCs w:val="22"/>
        </w:rPr>
        <w:t xml:space="preserve"> </w:t>
      </w:r>
    </w:p>
    <w:p w14:paraId="0A6E6200" w14:textId="77777777" w:rsidR="00657E36" w:rsidRDefault="00657E36" w:rsidP="00657E36">
      <w:pPr>
        <w:widowControl/>
        <w:spacing w:before="240"/>
        <w:rPr>
          <w:rFonts w:cs="Arial"/>
          <w:szCs w:val="22"/>
        </w:rPr>
      </w:pPr>
      <w:r w:rsidRPr="00657E36">
        <w:rPr>
          <w:rStyle w:val="mixed-citation"/>
          <w:szCs w:val="22"/>
          <w:lang w:val="en"/>
        </w:rPr>
        <w:t xml:space="preserve">Codex (1985) </w:t>
      </w:r>
      <w:r w:rsidRPr="00657E36">
        <w:rPr>
          <w:rStyle w:val="ref-journal"/>
          <w:szCs w:val="22"/>
          <w:lang w:val="en"/>
        </w:rPr>
        <w:t>Guidelines on Nutrition Labeling, Codex Alimentarius CODEX CAC</w:t>
      </w:r>
      <w:r w:rsidRPr="00657E36">
        <w:rPr>
          <w:rStyle w:val="ref-journal"/>
          <w:lang w:val="en"/>
        </w:rPr>
        <w:t>/GL 2–1985. Codex Alimentarius Commission, Rome, Last Amended 2017</w:t>
      </w:r>
      <w:r w:rsidRPr="00657E36">
        <w:rPr>
          <w:rStyle w:val="mixed-citation"/>
          <w:lang w:val="en"/>
        </w:rPr>
        <w:t>.</w:t>
      </w:r>
      <w:r w:rsidRPr="00657E36">
        <w:rPr>
          <w:rFonts w:cs="Arial"/>
          <w:szCs w:val="22"/>
        </w:rPr>
        <w:t xml:space="preserve"> Available from: </w:t>
      </w:r>
      <w:hyperlink r:id="rId30" w:history="1">
        <w:r w:rsidRPr="00657E36">
          <w:rPr>
            <w:rStyle w:val="Hyperlink"/>
            <w:rFonts w:cs="Arial"/>
            <w:szCs w:val="22"/>
          </w:rPr>
          <w:t>http://www.fao.org/fao-who-codexalimentarius/codex-texts/guidelines/en/</w:t>
        </w:r>
      </w:hyperlink>
      <w:r w:rsidRPr="00657E36">
        <w:rPr>
          <w:rFonts w:cs="Arial"/>
          <w:szCs w:val="22"/>
        </w:rPr>
        <w:t xml:space="preserve"> </w:t>
      </w:r>
    </w:p>
    <w:p w14:paraId="07C036AA" w14:textId="77777777" w:rsidR="00657E36" w:rsidRDefault="00657E36" w:rsidP="00657E36">
      <w:pPr>
        <w:widowControl/>
        <w:spacing w:before="240"/>
        <w:rPr>
          <w:rFonts w:cs="Arial"/>
          <w:szCs w:val="22"/>
        </w:rPr>
      </w:pPr>
      <w:r w:rsidRPr="00657E36">
        <w:rPr>
          <w:rFonts w:cs="Arial"/>
          <w:szCs w:val="22"/>
        </w:rPr>
        <w:t xml:space="preserve">Codex (1999) Recommended Methods of Analysis and Sampling. Codex Alimentarius CODEX CXS 234-1999. Codex Alimentarius International, Rome. Last amended 2009. Available from: </w:t>
      </w:r>
      <w:hyperlink r:id="rId31" w:history="1">
        <w:r w:rsidRPr="00657E36">
          <w:rPr>
            <w:rStyle w:val="Hyperlink"/>
            <w:rFonts w:cs="Arial"/>
            <w:szCs w:val="22"/>
          </w:rPr>
          <w:t>http://www.fao.org/fao-who-codexalimentarius/codex-texts/list-standards/it/</w:t>
        </w:r>
      </w:hyperlink>
      <w:r w:rsidRPr="00657E36">
        <w:rPr>
          <w:rFonts w:cs="Arial"/>
          <w:szCs w:val="22"/>
        </w:rPr>
        <w:t xml:space="preserve"> </w:t>
      </w:r>
    </w:p>
    <w:p w14:paraId="5B9C4E86" w14:textId="78ACDFD7" w:rsidR="00657E36" w:rsidRPr="00657E36" w:rsidRDefault="00657E36" w:rsidP="00657E36">
      <w:pPr>
        <w:widowControl/>
        <w:spacing w:before="240"/>
        <w:rPr>
          <w:szCs w:val="22"/>
        </w:rPr>
      </w:pPr>
      <w:r>
        <w:t xml:space="preserve">Codex (2021) Information and comments submitted by AOAC and ICC supporting replacement of AOAC 2009.01/AACCI 32-45.01 with AOAC 2017.16/ ICC Standard 185 in CXS 234-1999 as a Type I method for the measurement of Total Dietary Fibre </w:t>
      </w:r>
      <w:r w:rsidRPr="003A649F">
        <w:t>MAS-CRD/03</w:t>
      </w:r>
      <w:r>
        <w:t xml:space="preserve">. Codex Alimentarius Commission, Rome. Available from: </w:t>
      </w:r>
      <w:hyperlink r:id="rId32" w:history="1">
        <w:r w:rsidRPr="00995261">
          <w:rPr>
            <w:rStyle w:val="Hyperlink"/>
          </w:rPr>
          <w:t>http://www.fao.org/fao-who-codexalimentarius/sh-proxy/en/?lnk=1&amp;url=https%253A%252F%252Fworkspace.fao.org%252Fsites%252Fcodex%252FMeetings%252FCX-715-41%252FCRD%252Fma_CRD03x.pdf</w:t>
        </w:r>
      </w:hyperlink>
      <w:r>
        <w:t xml:space="preserve">  </w:t>
      </w:r>
    </w:p>
    <w:p w14:paraId="636BFDEE" w14:textId="77777777" w:rsidR="00657E36" w:rsidRPr="00657E36" w:rsidRDefault="00657E36" w:rsidP="00657E36">
      <w:pPr>
        <w:widowControl/>
        <w:spacing w:before="240"/>
        <w:rPr>
          <w:rFonts w:cs="Arial"/>
          <w:szCs w:val="22"/>
          <w:lang w:val="en"/>
        </w:rPr>
      </w:pPr>
      <w:r w:rsidRPr="00657E36">
        <w:rPr>
          <w:rFonts w:cs="Arial"/>
          <w:szCs w:val="22"/>
          <w:lang w:val="en"/>
        </w:rPr>
        <w:t xml:space="preserve">EC (2008) Commission Directive 2008/100/EC: amending Council Directive 90/496/EEC on nutrition labelling for foodstuffs as regards recommended daily allowances, energy conversion factors and definitions. 29.10.2008 </w:t>
      </w:r>
      <w:r w:rsidRPr="00657E36">
        <w:rPr>
          <w:rFonts w:cs="Arial"/>
          <w:i/>
          <w:szCs w:val="22"/>
          <w:lang w:val="en"/>
        </w:rPr>
        <w:t>Official Journal of the European Union</w:t>
      </w:r>
      <w:r w:rsidRPr="00657E36">
        <w:rPr>
          <w:rFonts w:cs="Arial"/>
          <w:szCs w:val="22"/>
          <w:lang w:val="en"/>
        </w:rPr>
        <w:t xml:space="preserve"> 285(9). Available from: </w:t>
      </w:r>
      <w:hyperlink r:id="rId33" w:history="1">
        <w:r w:rsidRPr="00657E36">
          <w:rPr>
            <w:rStyle w:val="Hyperlink"/>
            <w:rFonts w:cs="Arial"/>
            <w:szCs w:val="22"/>
            <w:lang w:val="en"/>
          </w:rPr>
          <w:t>https://eur-lex.europa.eu/legal-content/EN/ALL/?uri=CELEX:32008L0100</w:t>
        </w:r>
      </w:hyperlink>
      <w:r w:rsidRPr="00657E36">
        <w:rPr>
          <w:rFonts w:cs="Arial"/>
          <w:szCs w:val="22"/>
          <w:lang w:val="en"/>
        </w:rPr>
        <w:t xml:space="preserve"> </w:t>
      </w:r>
    </w:p>
    <w:p w14:paraId="40F97099" w14:textId="77777777" w:rsidR="00657E36" w:rsidRPr="00657E36" w:rsidRDefault="00657E36" w:rsidP="00657E36">
      <w:pPr>
        <w:widowControl/>
        <w:spacing w:before="240"/>
        <w:rPr>
          <w:rFonts w:cs="Arial"/>
          <w:szCs w:val="22"/>
          <w:lang w:val="en"/>
        </w:rPr>
      </w:pPr>
      <w:r w:rsidRPr="00657E36">
        <w:rPr>
          <w:rFonts w:cs="Arial"/>
          <w:szCs w:val="22"/>
          <w:lang w:val="en"/>
        </w:rPr>
        <w:t xml:space="preserve">EC (2012) Guidance document for competent authorities for the control of compliance with EU legislation on: Council Directive 90/496/EEC of 24 September 1990 on nutrition labelling of foodstuffs (and others) with regard to methods of analysis for determination of the fibre content declared on a label. European Commission, Brussels. Available from: </w:t>
      </w:r>
      <w:hyperlink r:id="rId34" w:history="1">
        <w:r w:rsidRPr="00657E36">
          <w:rPr>
            <w:rStyle w:val="Hyperlink"/>
            <w:rFonts w:cs="Arial"/>
            <w:szCs w:val="22"/>
            <w:lang w:val="en"/>
          </w:rPr>
          <w:t>https://ec.europa.eu/food/sites/food/files/safety/docs/labelling_legislation_guidance_methods_2012_en.pdf</w:t>
        </w:r>
      </w:hyperlink>
      <w:r w:rsidRPr="00657E36">
        <w:rPr>
          <w:rFonts w:cs="Arial"/>
          <w:szCs w:val="22"/>
          <w:lang w:val="en"/>
        </w:rPr>
        <w:t xml:space="preserve"> </w:t>
      </w:r>
    </w:p>
    <w:p w14:paraId="3C616EF4" w14:textId="77777777" w:rsidR="00657E36" w:rsidRPr="00657E36" w:rsidRDefault="00657E36" w:rsidP="00657E36">
      <w:pPr>
        <w:widowControl/>
        <w:spacing w:before="240"/>
        <w:rPr>
          <w:rFonts w:cs="Arial"/>
          <w:szCs w:val="22"/>
          <w:lang w:val="en"/>
        </w:rPr>
      </w:pPr>
      <w:r w:rsidRPr="00657E36">
        <w:rPr>
          <w:rFonts w:cs="Arial"/>
          <w:szCs w:val="22"/>
          <w:lang w:val="en"/>
        </w:rPr>
        <w:t xml:space="preserve">EC (2020) Health promotion and disease prevention: Dietary Fibre. European Commission Health Promotion and Disease Prevention Knowledge Gateway. European Commission, Brussels. Available from: </w:t>
      </w:r>
      <w:hyperlink r:id="rId35" w:history="1">
        <w:r w:rsidRPr="00657E36">
          <w:rPr>
            <w:rStyle w:val="Hyperlink"/>
            <w:rFonts w:cs="Arial"/>
            <w:szCs w:val="22"/>
            <w:lang w:val="en"/>
          </w:rPr>
          <w:t>https://ec.europa.eu/jrc/en/health-knowledge-gateway/promotion-prevention/nutrition/fibre</w:t>
        </w:r>
      </w:hyperlink>
      <w:r w:rsidRPr="00657E36">
        <w:rPr>
          <w:rFonts w:cs="Arial"/>
          <w:szCs w:val="22"/>
          <w:lang w:val="en"/>
        </w:rPr>
        <w:t xml:space="preserve"> </w:t>
      </w:r>
    </w:p>
    <w:p w14:paraId="00EA6A86" w14:textId="77777777" w:rsidR="00657E36" w:rsidRPr="00657E36" w:rsidRDefault="00657E36" w:rsidP="00657E36">
      <w:pPr>
        <w:widowControl/>
        <w:spacing w:before="240"/>
        <w:rPr>
          <w:rFonts w:cs="Arial"/>
          <w:bCs/>
          <w:color w:val="1C1D1E"/>
          <w:kern w:val="36"/>
          <w:szCs w:val="22"/>
          <w:lang w:val="en"/>
        </w:rPr>
      </w:pPr>
      <w:r w:rsidRPr="00657E36">
        <w:rPr>
          <w:rFonts w:cs="Arial"/>
          <w:color w:val="333333"/>
          <w:szCs w:val="22"/>
          <w:lang w:val="en"/>
        </w:rPr>
        <w:lastRenderedPageBreak/>
        <w:t xml:space="preserve">EFSA (2010) </w:t>
      </w:r>
      <w:r w:rsidRPr="00657E36">
        <w:rPr>
          <w:rFonts w:cs="Arial"/>
          <w:bCs/>
          <w:color w:val="1C1D1E"/>
          <w:kern w:val="36"/>
          <w:szCs w:val="22"/>
          <w:lang w:val="en"/>
        </w:rPr>
        <w:t xml:space="preserve">Scientific Opinion on Dietary Reference Values for carbohydrates and dietary fibre. </w:t>
      </w:r>
      <w:r w:rsidRPr="00657E36">
        <w:rPr>
          <w:rStyle w:val="groupname"/>
          <w:color w:val="1C1D1E"/>
          <w:szCs w:val="22"/>
          <w:shd w:val="clear" w:color="auto" w:fill="FFFFFF"/>
        </w:rPr>
        <w:t xml:space="preserve">European Food Safety Authority Panel on Dietetic Products, Nutrition, and Allergies (NDA). </w:t>
      </w:r>
      <w:r w:rsidRPr="00657E36">
        <w:rPr>
          <w:rFonts w:cs="Arial"/>
          <w:bCs/>
          <w:color w:val="1C1D1E"/>
          <w:kern w:val="36"/>
          <w:szCs w:val="22"/>
          <w:lang w:val="en"/>
        </w:rPr>
        <w:t xml:space="preserve">EFSA Journal, 8(3) 1462. Available from: </w:t>
      </w:r>
      <w:hyperlink r:id="rId36" w:history="1">
        <w:r w:rsidRPr="00657E36">
          <w:rPr>
            <w:rStyle w:val="Hyperlink"/>
            <w:rFonts w:cs="Arial"/>
            <w:bCs/>
            <w:kern w:val="36"/>
            <w:szCs w:val="22"/>
            <w:lang w:val="en"/>
          </w:rPr>
          <w:t>https://efsa.onlinelibrary.wiley.com/doi/abs/10.2903/j.efsa.2010.1462</w:t>
        </w:r>
      </w:hyperlink>
      <w:r w:rsidRPr="00657E36">
        <w:rPr>
          <w:rFonts w:cs="Arial"/>
          <w:bCs/>
          <w:color w:val="1C1D1E"/>
          <w:kern w:val="36"/>
          <w:szCs w:val="22"/>
          <w:lang w:val="en"/>
        </w:rPr>
        <w:t xml:space="preserve"> </w:t>
      </w:r>
    </w:p>
    <w:p w14:paraId="3C054F07" w14:textId="77777777" w:rsidR="00657E36" w:rsidRPr="00657E36" w:rsidRDefault="00657E36" w:rsidP="00657E36">
      <w:pPr>
        <w:widowControl/>
        <w:spacing w:before="240"/>
        <w:rPr>
          <w:rFonts w:cs="Arial"/>
          <w:color w:val="333333"/>
          <w:sz w:val="20"/>
          <w:szCs w:val="20"/>
          <w:lang w:val="en"/>
        </w:rPr>
      </w:pPr>
      <w:r w:rsidRPr="00657E36">
        <w:rPr>
          <w:rFonts w:cs="Arial"/>
          <w:szCs w:val="20"/>
          <w:lang w:val="en"/>
        </w:rPr>
        <w:t xml:space="preserve">EU (2011) Regulation (EU) No 1169/2011 of the European parliament and of the Council on the provision of food information to consumers. </w:t>
      </w:r>
      <w:r w:rsidRPr="00657E36">
        <w:rPr>
          <w:rFonts w:cs="Arial"/>
          <w:i/>
          <w:szCs w:val="20"/>
          <w:lang w:val="en"/>
        </w:rPr>
        <w:t>Official Journal of the European</w:t>
      </w:r>
      <w:r w:rsidRPr="00657E36">
        <w:rPr>
          <w:rFonts w:cs="Arial"/>
          <w:szCs w:val="20"/>
          <w:lang w:val="en"/>
        </w:rPr>
        <w:t xml:space="preserve"> Union (2011) (304)18–63</w:t>
      </w:r>
      <w:r w:rsidRPr="00657E36">
        <w:rPr>
          <w:rStyle w:val="Hyperlink"/>
          <w:rFonts w:cs="Arial"/>
          <w:color w:val="auto"/>
          <w:szCs w:val="20"/>
          <w:u w:val="none"/>
          <w:lang w:val="en"/>
        </w:rPr>
        <w:t>. Available from:</w:t>
      </w:r>
      <w:r w:rsidRPr="00657E36">
        <w:rPr>
          <w:rStyle w:val="Hyperlink"/>
          <w:rFonts w:cs="Arial"/>
          <w:color w:val="auto"/>
          <w:szCs w:val="20"/>
          <w:lang w:val="en"/>
        </w:rPr>
        <w:t xml:space="preserve"> </w:t>
      </w:r>
      <w:r w:rsidRPr="00657E36">
        <w:rPr>
          <w:rStyle w:val="Hyperlink"/>
          <w:rFonts w:cs="Arial"/>
          <w:szCs w:val="20"/>
          <w:lang w:val="en"/>
        </w:rPr>
        <w:t>https://eur-lex.europa.eu/legal-</w:t>
      </w:r>
      <w:r w:rsidRPr="00657E36">
        <w:rPr>
          <w:rStyle w:val="Hyperlink"/>
          <w:rFonts w:cs="Arial"/>
          <w:sz w:val="20"/>
          <w:szCs w:val="20"/>
          <w:lang w:val="en"/>
        </w:rPr>
        <w:t>content/EN/TXT/PDF/?uri=CELEX:32011R1169&amp;from=EN</w:t>
      </w:r>
    </w:p>
    <w:p w14:paraId="32B589CD" w14:textId="77777777" w:rsidR="00657E36" w:rsidRPr="00657E36" w:rsidRDefault="00657E36" w:rsidP="00657E36">
      <w:pPr>
        <w:widowControl/>
        <w:spacing w:before="240"/>
        <w:rPr>
          <w:rStyle w:val="Hyperlink"/>
          <w:rFonts w:cs="Arial"/>
          <w:szCs w:val="22"/>
          <w:lang w:val="en"/>
        </w:rPr>
      </w:pPr>
      <w:r w:rsidRPr="00657E36">
        <w:rPr>
          <w:rFonts w:cs="Arial"/>
          <w:szCs w:val="22"/>
          <w:lang w:val="en"/>
        </w:rPr>
        <w:t xml:space="preserve">FDA (2016) Food and Drug Administration, Revision of the Nutrition and Supplement Facts Label, US Federal Register (2016), Vol.81, No.103. Available from: </w:t>
      </w:r>
      <w:hyperlink r:id="rId37" w:history="1">
        <w:r w:rsidRPr="00657E36">
          <w:rPr>
            <w:rStyle w:val="Hyperlink"/>
            <w:rFonts w:cs="Arial"/>
            <w:szCs w:val="22"/>
            <w:lang w:val="en"/>
          </w:rPr>
          <w:t>https://www.regulations.gov/contentStreamer?documentId=FDA-2012-N-1210-0875&amp;contentType=pdf</w:t>
        </w:r>
      </w:hyperlink>
    </w:p>
    <w:p w14:paraId="76E345A1" w14:textId="4DB960ED" w:rsidR="00824C9E" w:rsidRDefault="00824C9E" w:rsidP="00657E36">
      <w:pPr>
        <w:widowControl/>
        <w:spacing w:before="240"/>
        <w:rPr>
          <w:rFonts w:cs="Arial"/>
          <w:szCs w:val="22"/>
        </w:rPr>
      </w:pPr>
      <w:r w:rsidRPr="00824C9E">
        <w:rPr>
          <w:rFonts w:cs="Arial"/>
          <w:szCs w:val="22"/>
        </w:rPr>
        <w:t>Halmos EP, Christophersen CT, Bird AR, Shepherd SJ, Gibson PR, Muir JG (2015) Diets that differ in their FODMAP content alter the colonic luminal microenvironment Gut 64: 93-100. doi: 10.1136/gutjnl-2014-307264</w:t>
      </w:r>
    </w:p>
    <w:p w14:paraId="79743CA2" w14:textId="679FC206" w:rsidR="00657E36" w:rsidRPr="00657E36" w:rsidRDefault="00657E36" w:rsidP="00657E36">
      <w:pPr>
        <w:widowControl/>
        <w:spacing w:before="240"/>
        <w:rPr>
          <w:rFonts w:cs="Arial"/>
          <w:szCs w:val="22"/>
        </w:rPr>
      </w:pPr>
      <w:r w:rsidRPr="00657E36">
        <w:rPr>
          <w:rFonts w:cs="Arial"/>
          <w:szCs w:val="22"/>
        </w:rPr>
        <w:t xml:space="preserve">Hayakawa K, Ando K, Yoshia N, Yamamoto A, Matsunaga A, Nishimura M. Kitaoka M, and Matsui K (2000) Determination of saccharides in sake by high-performance liquid chromatography with polarized photometric detection. </w:t>
      </w:r>
      <w:r w:rsidRPr="00657E36">
        <w:rPr>
          <w:rFonts w:cs="Arial"/>
          <w:i/>
          <w:szCs w:val="22"/>
        </w:rPr>
        <w:t>Biochemical Chromatography</w:t>
      </w:r>
      <w:r w:rsidRPr="00657E36">
        <w:rPr>
          <w:rFonts w:cs="Arial"/>
          <w:szCs w:val="22"/>
        </w:rPr>
        <w:t xml:space="preserve"> 14: 75.</w:t>
      </w:r>
    </w:p>
    <w:p w14:paraId="3092B426" w14:textId="39E173FB" w:rsidR="006864DE" w:rsidRDefault="006864DE" w:rsidP="006864DE">
      <w:pPr>
        <w:widowControl/>
        <w:spacing w:before="240"/>
        <w:rPr>
          <w:rFonts w:cs="Arial"/>
          <w:szCs w:val="22"/>
        </w:rPr>
      </w:pPr>
      <w:r>
        <w:rPr>
          <w:rFonts w:cs="Arial"/>
          <w:szCs w:val="22"/>
        </w:rPr>
        <w:t xml:space="preserve">Health Canada (2013) </w:t>
      </w:r>
      <w:r w:rsidRPr="006864DE">
        <w:rPr>
          <w:rFonts w:cs="Arial"/>
          <w:szCs w:val="22"/>
        </w:rPr>
        <w:t>Bureau of Nutritional Sciences Food Direct</w:t>
      </w:r>
      <w:r>
        <w:rPr>
          <w:rFonts w:cs="Arial"/>
          <w:szCs w:val="22"/>
        </w:rPr>
        <w:t xml:space="preserve">orate, Health Products and Food </w:t>
      </w:r>
      <w:r w:rsidRPr="006864DE">
        <w:rPr>
          <w:rFonts w:cs="Arial"/>
          <w:szCs w:val="22"/>
        </w:rPr>
        <w:t>Branch, Health Canada: Policy for labelling and advertising of dietary</w:t>
      </w:r>
      <w:r>
        <w:rPr>
          <w:rFonts w:cs="Arial"/>
          <w:szCs w:val="22"/>
        </w:rPr>
        <w:t xml:space="preserve"> </w:t>
      </w:r>
      <w:r w:rsidRPr="006864DE">
        <w:rPr>
          <w:rFonts w:cs="Arial"/>
          <w:szCs w:val="22"/>
        </w:rPr>
        <w:t>fibre-containing f</w:t>
      </w:r>
      <w:r>
        <w:rPr>
          <w:rFonts w:cs="Arial"/>
          <w:szCs w:val="22"/>
        </w:rPr>
        <w:t>ood. Available from:</w:t>
      </w:r>
      <w:r w:rsidRPr="006864DE">
        <w:rPr>
          <w:rFonts w:cs="Arial"/>
          <w:szCs w:val="22"/>
        </w:rPr>
        <w:t xml:space="preserve"> </w:t>
      </w:r>
      <w:hyperlink r:id="rId38" w:history="1">
        <w:r w:rsidR="007A2401" w:rsidRPr="00C81B32">
          <w:rPr>
            <w:rStyle w:val="Hyperlink"/>
            <w:rFonts w:cs="Arial"/>
            <w:szCs w:val="22"/>
          </w:rPr>
          <w:t>https://www.canada.ca/en/health-canada/services/publications/food-nutrition/labelling-advertising-dietary-fibre-food-products.html</w:t>
        </w:r>
      </w:hyperlink>
      <w:r w:rsidR="007A2401">
        <w:rPr>
          <w:rFonts w:cs="Arial"/>
          <w:szCs w:val="22"/>
        </w:rPr>
        <w:t xml:space="preserve"> </w:t>
      </w:r>
    </w:p>
    <w:p w14:paraId="7B4717C5" w14:textId="342CAA6C" w:rsidR="00657E36" w:rsidRPr="00657E36" w:rsidRDefault="00657E36" w:rsidP="00657E36">
      <w:pPr>
        <w:widowControl/>
        <w:spacing w:before="240"/>
        <w:rPr>
          <w:rFonts w:cs="Arial"/>
          <w:szCs w:val="22"/>
        </w:rPr>
      </w:pPr>
      <w:r w:rsidRPr="00657E36">
        <w:rPr>
          <w:rFonts w:cs="Arial"/>
          <w:szCs w:val="22"/>
        </w:rPr>
        <w:t xml:space="preserve">Jones JM (2013) Dietary fiber future directions: integrating new definitions and findings to inform nutrition research and communication. Advanced Nutrition 4(1):8–15. Available from: </w:t>
      </w:r>
      <w:hyperlink r:id="rId39" w:history="1">
        <w:r w:rsidRPr="00657E36">
          <w:rPr>
            <w:rStyle w:val="Hyperlink"/>
            <w:rFonts w:cs="Arial"/>
            <w:szCs w:val="22"/>
          </w:rPr>
          <w:t>https://pubmed.ncbi.nlm.nih.gov/23319118/</w:t>
        </w:r>
      </w:hyperlink>
    </w:p>
    <w:p w14:paraId="7167E9C2" w14:textId="77777777" w:rsidR="00657E36" w:rsidRPr="00657E36" w:rsidRDefault="00657E36" w:rsidP="00657E36">
      <w:pPr>
        <w:widowControl/>
        <w:spacing w:before="240"/>
        <w:rPr>
          <w:rFonts w:cs="Arial"/>
          <w:szCs w:val="22"/>
        </w:rPr>
      </w:pPr>
      <w:r w:rsidRPr="00657E36">
        <w:rPr>
          <w:rFonts w:cs="Arial"/>
          <w:szCs w:val="22"/>
        </w:rPr>
        <w:t xml:space="preserve">Jones JM (2014) CODEX-aligned dietary fiber definitions help to bridge the ‘fiber gap’. </w:t>
      </w:r>
      <w:r w:rsidRPr="00657E36">
        <w:rPr>
          <w:rFonts w:cs="Arial"/>
          <w:i/>
          <w:szCs w:val="22"/>
        </w:rPr>
        <w:t>Nutrition Journal</w:t>
      </w:r>
      <w:r w:rsidRPr="00657E36">
        <w:rPr>
          <w:rFonts w:cs="Arial"/>
          <w:szCs w:val="22"/>
        </w:rPr>
        <w:t xml:space="preserve"> 13(34). Available from: </w:t>
      </w:r>
      <w:hyperlink r:id="rId40" w:history="1">
        <w:r w:rsidRPr="00657E36">
          <w:rPr>
            <w:rStyle w:val="Hyperlink"/>
            <w:rFonts w:cs="Arial"/>
            <w:szCs w:val="22"/>
          </w:rPr>
          <w:t>https://doi.org/10.1186/1475-2891-13-34</w:t>
        </w:r>
      </w:hyperlink>
    </w:p>
    <w:p w14:paraId="3A7FA7CB" w14:textId="77777777" w:rsidR="00657E36" w:rsidRPr="00657E36" w:rsidRDefault="00657E36" w:rsidP="00657E36">
      <w:pPr>
        <w:widowControl/>
        <w:spacing w:before="240"/>
        <w:rPr>
          <w:noProof/>
          <w:szCs w:val="22"/>
        </w:rPr>
      </w:pPr>
      <w:r w:rsidRPr="00657E36">
        <w:rPr>
          <w:noProof/>
          <w:szCs w:val="22"/>
        </w:rPr>
        <w:t xml:space="preserve">McCleary BV, DeVries JW, Rader JI, Cohen G, Prosky L, Mugford DC, Champ M, and Okuma K (2012) Determination of insoluble, soluble, and total dietary fiber (CODEX definition) by enzymatic-gravimetric method and liquid chromatography: collaborative study. </w:t>
      </w:r>
      <w:r w:rsidRPr="00657E36">
        <w:rPr>
          <w:i/>
          <w:noProof/>
          <w:szCs w:val="22"/>
        </w:rPr>
        <w:t>J.AOAC Int.,</w:t>
      </w:r>
      <w:r w:rsidRPr="00657E36">
        <w:rPr>
          <w:noProof/>
          <w:szCs w:val="22"/>
        </w:rPr>
        <w:t xml:space="preserve"> 95(3): 824-44</w:t>
      </w:r>
    </w:p>
    <w:p w14:paraId="4E54FB60" w14:textId="77777777" w:rsidR="00657E36" w:rsidRPr="00657E36" w:rsidRDefault="00657E36" w:rsidP="00657E36">
      <w:pPr>
        <w:widowControl/>
        <w:spacing w:before="240" w:after="120"/>
        <w:rPr>
          <w:rFonts w:cs="Arial"/>
          <w:szCs w:val="22"/>
        </w:rPr>
      </w:pPr>
      <w:r w:rsidRPr="00657E36">
        <w:rPr>
          <w:rFonts w:cs="Arial"/>
          <w:szCs w:val="22"/>
        </w:rPr>
        <w:t>McCleary BV, Cox J (2017) Evolution of a Definition for Dietary Fiber and Methodology to Service this Definition. Luminacoids Research 21(2) 9-20.</w:t>
      </w:r>
    </w:p>
    <w:p w14:paraId="2D3C698B" w14:textId="77777777" w:rsidR="00657E36" w:rsidRPr="00D84C3C" w:rsidRDefault="00657E36" w:rsidP="00657E36">
      <w:pPr>
        <w:widowControl/>
        <w:spacing w:before="240"/>
        <w:rPr>
          <w:rFonts w:cs="Arial"/>
          <w:szCs w:val="22"/>
        </w:rPr>
      </w:pPr>
      <w:r w:rsidRPr="00657E36">
        <w:rPr>
          <w:noProof/>
          <w:szCs w:val="22"/>
        </w:rPr>
        <w:t xml:space="preserve">Phillips, GO (2013) Dietary fibre: A chemical category or a health ingredient? </w:t>
      </w:r>
      <w:r w:rsidRPr="00657E36">
        <w:rPr>
          <w:i/>
          <w:noProof/>
          <w:szCs w:val="22"/>
        </w:rPr>
        <w:t xml:space="preserve">Bioactive </w:t>
      </w:r>
      <w:r w:rsidRPr="00D84C3C">
        <w:rPr>
          <w:i/>
          <w:noProof/>
          <w:szCs w:val="22"/>
        </w:rPr>
        <w:t xml:space="preserve">Carbohydrates and Dietary Fibre </w:t>
      </w:r>
      <w:r w:rsidRPr="00D84C3C">
        <w:rPr>
          <w:noProof/>
          <w:szCs w:val="22"/>
        </w:rPr>
        <w:t>1(1): 3-9.</w:t>
      </w:r>
    </w:p>
    <w:p w14:paraId="4AD6C62B" w14:textId="434497B0" w:rsidR="00657E36" w:rsidRPr="007A2401" w:rsidRDefault="007A2401" w:rsidP="003648E6">
      <w:pPr>
        <w:spacing w:before="120" w:after="120"/>
        <w:rPr>
          <w:szCs w:val="20"/>
        </w:rPr>
      </w:pPr>
      <w:r w:rsidRPr="007A2401">
        <w:rPr>
          <w:szCs w:val="20"/>
        </w:rPr>
        <w:t>US FDA (2016) Food and Drug Administration, HHS. Food Labeling: Revision of the Nutrition and Supplement Facts Labels. Final rule. Fed Regist.</w:t>
      </w:r>
      <w:r w:rsidR="003937BC">
        <w:rPr>
          <w:szCs w:val="20"/>
        </w:rPr>
        <w:t xml:space="preserve"> 2016 May 27;81(103):33741-999. </w:t>
      </w:r>
      <w:r>
        <w:rPr>
          <w:szCs w:val="20"/>
        </w:rPr>
        <w:t>A</w:t>
      </w:r>
      <w:r w:rsidRPr="007A2401">
        <w:rPr>
          <w:szCs w:val="20"/>
        </w:rPr>
        <w:t xml:space="preserve">vailable from: </w:t>
      </w:r>
      <w:hyperlink r:id="rId41" w:history="1">
        <w:r w:rsidRPr="007A2401">
          <w:rPr>
            <w:rStyle w:val="Hyperlink"/>
            <w:szCs w:val="20"/>
          </w:rPr>
          <w:t>https://www.govinfo.gov/content/pkg/FR-2016-05-27/pdf/2016-11867.pdf</w:t>
        </w:r>
      </w:hyperlink>
      <w:r w:rsidRPr="007A2401">
        <w:rPr>
          <w:szCs w:val="20"/>
        </w:rPr>
        <w:t xml:space="preserve"> </w:t>
      </w:r>
    </w:p>
    <w:p w14:paraId="2B67F22E" w14:textId="327E28FD" w:rsidR="006C22A7" w:rsidRDefault="00D15A08" w:rsidP="003648E6">
      <w:pPr>
        <w:spacing w:before="120" w:after="120"/>
      </w:pPr>
      <w:r w:rsidRPr="00D84C3C">
        <w:rPr>
          <w:b/>
          <w:sz w:val="28"/>
          <w:szCs w:val="28"/>
        </w:rPr>
        <w:t>A</w:t>
      </w:r>
      <w:bookmarkEnd w:id="151"/>
      <w:bookmarkEnd w:id="152"/>
      <w:bookmarkEnd w:id="153"/>
      <w:bookmarkEnd w:id="154"/>
      <w:bookmarkEnd w:id="155"/>
      <w:r w:rsidR="00B21055">
        <w:rPr>
          <w:b/>
          <w:sz w:val="28"/>
          <w:szCs w:val="28"/>
        </w:rPr>
        <w:t>ttachments</w:t>
      </w:r>
    </w:p>
    <w:p w14:paraId="4DC29E49" w14:textId="69CA35F5" w:rsidR="00795D86" w:rsidRDefault="00755F02" w:rsidP="003648E6">
      <w:pPr>
        <w:spacing w:before="120" w:after="120"/>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A85C60">
        <w:t>Australia New Zealand Food Standards Code</w:t>
      </w:r>
    </w:p>
    <w:p w14:paraId="189F5190" w14:textId="5F406498" w:rsidR="006C22A7" w:rsidRPr="00657E36" w:rsidRDefault="00456BD5" w:rsidP="00657E36">
      <w:pPr>
        <w:spacing w:before="120" w:after="120"/>
        <w:ind w:left="567" w:hanging="567"/>
      </w:pPr>
      <w:r w:rsidRPr="00456BD5">
        <w:t>B</w:t>
      </w:r>
      <w:r w:rsidR="00755F02" w:rsidRPr="00456BD5">
        <w:t>.</w:t>
      </w:r>
      <w:r w:rsidR="00755F02" w:rsidRPr="00456BD5">
        <w:tab/>
      </w:r>
      <w:r w:rsidR="00657E36">
        <w:t>Explanatory Statement</w:t>
      </w:r>
    </w:p>
    <w:p w14:paraId="2297C324" w14:textId="7096132B" w:rsidR="00732F91" w:rsidRPr="004D60AC" w:rsidRDefault="003C4969" w:rsidP="00732F91">
      <w:pPr>
        <w:pStyle w:val="Heading1"/>
      </w:pPr>
      <w:r w:rsidRPr="00932F14">
        <w:br w:type="page"/>
      </w:r>
      <w:bookmarkStart w:id="157" w:name="_Toc29883131"/>
      <w:bookmarkStart w:id="158" w:name="_Toc41906818"/>
      <w:bookmarkStart w:id="159" w:name="_Toc41907565"/>
      <w:bookmarkStart w:id="160" w:name="_Toc120358596"/>
      <w:bookmarkStart w:id="161" w:name="_Toc175381458"/>
      <w:bookmarkStart w:id="162" w:name="_Toc11735644"/>
      <w:bookmarkStart w:id="163" w:name="_Toc86240856"/>
      <w:r w:rsidRPr="00932F14">
        <w:lastRenderedPageBreak/>
        <w:t xml:space="preserve">Attachment </w:t>
      </w:r>
      <w:bookmarkEnd w:id="157"/>
      <w:bookmarkEnd w:id="158"/>
      <w:bookmarkEnd w:id="159"/>
      <w:bookmarkEnd w:id="160"/>
      <w:bookmarkEnd w:id="161"/>
      <w:r w:rsidR="00456B54">
        <w:t>A</w:t>
      </w:r>
      <w:bookmarkStart w:id="164" w:name="_Toc120358597"/>
      <w:bookmarkStart w:id="165" w:name="_Toc175381459"/>
      <w:bookmarkEnd w:id="162"/>
      <w:r w:rsidR="00755F02">
        <w:t xml:space="preserve"> –</w:t>
      </w:r>
      <w:bookmarkStart w:id="166" w:name="_Toc120358598"/>
      <w:bookmarkStart w:id="167" w:name="_Toc175381460"/>
      <w:bookmarkEnd w:id="164"/>
      <w:bookmarkEnd w:id="165"/>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A85C60">
        <w:t>Australia New Zealand Food Standards Code</w:t>
      </w:r>
      <w:bookmarkEnd w:id="163"/>
      <w:r w:rsidR="00456BD5">
        <w:rPr>
          <w:i/>
        </w:rPr>
        <w:t xml:space="preserve"> </w:t>
      </w:r>
      <w:bookmarkStart w:id="168" w:name="_Toc415572037"/>
      <w:bookmarkStart w:id="169" w:name="_Toc67321529"/>
      <w:bookmarkStart w:id="170" w:name="_Toc69987937"/>
      <w:bookmarkStart w:id="171" w:name="_Toc70002659"/>
      <w:bookmarkStart w:id="172" w:name="_Toc415572039"/>
      <w:bookmarkEnd w:id="168"/>
      <w:bookmarkEnd w:id="169"/>
      <w:bookmarkEnd w:id="170"/>
      <w:bookmarkEnd w:id="171"/>
      <w:r w:rsidR="00732F91" w:rsidRPr="004D60AC">
        <w:t xml:space="preserve"> </w:t>
      </w:r>
      <w:bookmarkEnd w:id="172"/>
    </w:p>
    <w:p w14:paraId="3325EDD5" w14:textId="77777777" w:rsidR="00732F91" w:rsidRPr="00C0014E" w:rsidRDefault="00732F91" w:rsidP="00732F91">
      <w:pPr>
        <w:rPr>
          <w:noProof/>
          <w:sz w:val="20"/>
          <w:lang w:eastAsia="en-AU"/>
        </w:rPr>
      </w:pPr>
      <w:r w:rsidRPr="00C0014E">
        <w:rPr>
          <w:noProof/>
          <w:sz w:val="20"/>
          <w:lang w:eastAsia="en-GB" w:bidi="ar-SA"/>
        </w:rPr>
        <w:drawing>
          <wp:inline distT="0" distB="0" distL="0" distR="0" wp14:anchorId="33210F7D" wp14:editId="165BFD63">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121CF3B" w14:textId="77777777" w:rsidR="00732F91" w:rsidRPr="006153A1" w:rsidRDefault="00732F91" w:rsidP="00732F91">
      <w:pPr>
        <w:pBdr>
          <w:bottom w:val="single" w:sz="4" w:space="1" w:color="auto"/>
        </w:pBdr>
        <w:rPr>
          <w:b/>
          <w:bCs/>
        </w:rPr>
      </w:pPr>
    </w:p>
    <w:p w14:paraId="1917F5E2" w14:textId="77777777" w:rsidR="00732F91" w:rsidRDefault="00732F91" w:rsidP="00732F91">
      <w:pPr>
        <w:pBdr>
          <w:bottom w:val="single" w:sz="4" w:space="1" w:color="auto"/>
        </w:pBdr>
        <w:rPr>
          <w:b/>
          <w:sz w:val="20"/>
        </w:rPr>
      </w:pPr>
      <w:r w:rsidRPr="006153A1">
        <w:rPr>
          <w:b/>
          <w:sz w:val="20"/>
        </w:rPr>
        <w:t>Food Standards (</w:t>
      </w:r>
      <w:r w:rsidRPr="00F618DF">
        <w:rPr>
          <w:b/>
          <w:sz w:val="20"/>
        </w:rPr>
        <w:t>Application A</w:t>
      </w:r>
      <w:r>
        <w:rPr>
          <w:b/>
          <w:sz w:val="20"/>
        </w:rPr>
        <w:t>1178</w:t>
      </w:r>
      <w:r w:rsidRPr="00F618DF">
        <w:rPr>
          <w:b/>
          <w:sz w:val="20"/>
        </w:rPr>
        <w:t xml:space="preserve"> </w:t>
      </w:r>
      <w:r w:rsidRPr="00A32232">
        <w:rPr>
          <w:b/>
          <w:sz w:val="20"/>
        </w:rPr>
        <w:t>–</w:t>
      </w:r>
      <w:r>
        <w:rPr>
          <w:b/>
          <w:sz w:val="20"/>
        </w:rPr>
        <w:t xml:space="preserve"> Method AOAC 2017.16 as a new method of analysis for total dietary fibre)</w:t>
      </w:r>
      <w:r w:rsidRPr="00C0014E">
        <w:rPr>
          <w:b/>
          <w:sz w:val="20"/>
        </w:rPr>
        <w:t xml:space="preserve"> Variation</w:t>
      </w:r>
    </w:p>
    <w:p w14:paraId="4740A4B6" w14:textId="77777777" w:rsidR="00732F91" w:rsidRPr="00C0014E" w:rsidRDefault="00732F91" w:rsidP="00732F91">
      <w:pPr>
        <w:pBdr>
          <w:bottom w:val="single" w:sz="4" w:space="1" w:color="auto"/>
        </w:pBdr>
        <w:rPr>
          <w:b/>
          <w:sz w:val="20"/>
        </w:rPr>
      </w:pPr>
    </w:p>
    <w:p w14:paraId="15FBAA25" w14:textId="77777777" w:rsidR="00732F91" w:rsidRPr="008F2616" w:rsidRDefault="00732F91" w:rsidP="00732F91">
      <w:pPr>
        <w:rPr>
          <w:sz w:val="20"/>
        </w:rPr>
      </w:pPr>
    </w:p>
    <w:p w14:paraId="72BB009D" w14:textId="77777777" w:rsidR="00732F91" w:rsidRPr="008F2616" w:rsidRDefault="00732F91" w:rsidP="00732F9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0B138990" w14:textId="77777777" w:rsidR="00732F91" w:rsidRPr="008F2616" w:rsidRDefault="00732F91" w:rsidP="00732F91">
      <w:pPr>
        <w:rPr>
          <w:sz w:val="20"/>
        </w:rPr>
      </w:pPr>
    </w:p>
    <w:p w14:paraId="07911CFA" w14:textId="77777777" w:rsidR="00732F91" w:rsidRPr="008F2616" w:rsidRDefault="00732F91" w:rsidP="00732F91">
      <w:pPr>
        <w:rPr>
          <w:sz w:val="20"/>
        </w:rPr>
      </w:pPr>
      <w:r w:rsidRPr="008F2616">
        <w:rPr>
          <w:sz w:val="20"/>
        </w:rPr>
        <w:t xml:space="preserve">Dated </w:t>
      </w:r>
      <w:r w:rsidRPr="006F37AC">
        <w:rPr>
          <w:color w:val="FF0000"/>
          <w:sz w:val="20"/>
        </w:rPr>
        <w:t>[To be completed by Delegate]</w:t>
      </w:r>
    </w:p>
    <w:p w14:paraId="6511571E" w14:textId="77777777" w:rsidR="00732F91" w:rsidRPr="008F2616" w:rsidRDefault="00732F91" w:rsidP="00732F91">
      <w:pPr>
        <w:rPr>
          <w:sz w:val="20"/>
        </w:rPr>
      </w:pPr>
    </w:p>
    <w:p w14:paraId="654811DB" w14:textId="77777777" w:rsidR="00732F91" w:rsidRDefault="00732F91" w:rsidP="00732F91">
      <w:pPr>
        <w:rPr>
          <w:sz w:val="20"/>
        </w:rPr>
      </w:pPr>
    </w:p>
    <w:p w14:paraId="18E1F759" w14:textId="77777777" w:rsidR="00732F91" w:rsidRDefault="00732F91" w:rsidP="00732F91">
      <w:pPr>
        <w:rPr>
          <w:sz w:val="20"/>
        </w:rPr>
      </w:pPr>
    </w:p>
    <w:p w14:paraId="2FDABD51" w14:textId="77777777" w:rsidR="00732F91" w:rsidRPr="008F2616" w:rsidRDefault="00732F91" w:rsidP="00732F91">
      <w:pPr>
        <w:rPr>
          <w:sz w:val="20"/>
        </w:rPr>
      </w:pPr>
    </w:p>
    <w:p w14:paraId="759D97CD" w14:textId="77777777" w:rsidR="00732F91" w:rsidRPr="008F2616" w:rsidRDefault="00732F91" w:rsidP="00732F91">
      <w:pPr>
        <w:rPr>
          <w:sz w:val="20"/>
        </w:rPr>
      </w:pPr>
    </w:p>
    <w:p w14:paraId="39D58956" w14:textId="77777777" w:rsidR="00732F91" w:rsidRPr="00330CBD" w:rsidRDefault="00732F91" w:rsidP="00732F91">
      <w:pPr>
        <w:rPr>
          <w:sz w:val="20"/>
        </w:rPr>
      </w:pPr>
      <w:r w:rsidRPr="00330CBD">
        <w:rPr>
          <w:sz w:val="20"/>
        </w:rPr>
        <w:t>Glen Neal</w:t>
      </w:r>
    </w:p>
    <w:p w14:paraId="50027771" w14:textId="77777777" w:rsidR="00732F91" w:rsidRPr="008F2616" w:rsidRDefault="00732F91" w:rsidP="00732F91">
      <w:pPr>
        <w:rPr>
          <w:sz w:val="20"/>
        </w:rPr>
      </w:pPr>
      <w:r w:rsidRPr="008F2616">
        <w:rPr>
          <w:sz w:val="20"/>
        </w:rPr>
        <w:t>Delegate of the Board of Food Standards Australia New Zealand</w:t>
      </w:r>
    </w:p>
    <w:p w14:paraId="09AD03AB" w14:textId="77777777" w:rsidR="00732F91" w:rsidRDefault="00732F91" w:rsidP="00732F91">
      <w:pPr>
        <w:rPr>
          <w:sz w:val="20"/>
        </w:rPr>
      </w:pPr>
    </w:p>
    <w:p w14:paraId="4D7273E3" w14:textId="77777777" w:rsidR="00732F91" w:rsidRDefault="00732F91" w:rsidP="00732F91">
      <w:pPr>
        <w:rPr>
          <w:sz w:val="20"/>
        </w:rPr>
      </w:pPr>
    </w:p>
    <w:p w14:paraId="3AD4B138" w14:textId="77777777" w:rsidR="00732F91" w:rsidRDefault="00732F91" w:rsidP="00732F91">
      <w:pPr>
        <w:rPr>
          <w:sz w:val="20"/>
        </w:rPr>
      </w:pPr>
    </w:p>
    <w:p w14:paraId="0C9F7E73" w14:textId="77777777" w:rsidR="00732F91" w:rsidRDefault="00732F91" w:rsidP="00732F91">
      <w:pPr>
        <w:rPr>
          <w:sz w:val="20"/>
        </w:rPr>
      </w:pPr>
    </w:p>
    <w:p w14:paraId="5DC2B1BB" w14:textId="77777777" w:rsidR="00732F91" w:rsidRDefault="00732F91" w:rsidP="00732F91">
      <w:pPr>
        <w:rPr>
          <w:sz w:val="20"/>
        </w:rPr>
      </w:pPr>
    </w:p>
    <w:p w14:paraId="1129365E" w14:textId="77777777" w:rsidR="00732F91" w:rsidRPr="00360C8F" w:rsidRDefault="00732F91" w:rsidP="00732F91">
      <w:pPr>
        <w:pBdr>
          <w:top w:val="single" w:sz="4" w:space="1" w:color="auto"/>
          <w:left w:val="single" w:sz="4" w:space="4" w:color="auto"/>
          <w:bottom w:val="single" w:sz="4" w:space="1" w:color="auto"/>
          <w:right w:val="single" w:sz="4" w:space="4" w:color="auto"/>
        </w:pBdr>
        <w:rPr>
          <w:b/>
          <w:sz w:val="20"/>
        </w:rPr>
      </w:pPr>
      <w:r w:rsidRPr="00360C8F">
        <w:rPr>
          <w:b/>
          <w:sz w:val="20"/>
        </w:rPr>
        <w:t xml:space="preserve">Note:  </w:t>
      </w:r>
    </w:p>
    <w:p w14:paraId="7517690B" w14:textId="77777777" w:rsidR="00732F91" w:rsidRPr="00360C8F" w:rsidRDefault="00732F91" w:rsidP="00732F91">
      <w:pPr>
        <w:pBdr>
          <w:top w:val="single" w:sz="4" w:space="1" w:color="auto"/>
          <w:left w:val="single" w:sz="4" w:space="4" w:color="auto"/>
          <w:bottom w:val="single" w:sz="4" w:space="1" w:color="auto"/>
          <w:right w:val="single" w:sz="4" w:space="4" w:color="auto"/>
        </w:pBdr>
        <w:rPr>
          <w:sz w:val="20"/>
        </w:rPr>
      </w:pPr>
    </w:p>
    <w:p w14:paraId="1E25D458" w14:textId="77777777" w:rsidR="00732F91" w:rsidRPr="00360C8F" w:rsidRDefault="00732F91" w:rsidP="00732F91">
      <w:pPr>
        <w:pBdr>
          <w:top w:val="single" w:sz="4" w:space="1" w:color="auto"/>
          <w:left w:val="single" w:sz="4" w:space="4" w:color="auto"/>
          <w:bottom w:val="single" w:sz="4" w:space="1" w:color="auto"/>
          <w:right w:val="single" w:sz="4" w:space="4" w:color="auto"/>
        </w:pBdr>
        <w:rPr>
          <w:sz w:val="20"/>
        </w:rPr>
      </w:pPr>
      <w:r w:rsidRPr="00360C8F">
        <w:rPr>
          <w:sz w:val="20"/>
        </w:rPr>
        <w:t xml:space="preserve">This variation will be published in the Commonwealth of Australia Gazette No. FSC </w:t>
      </w:r>
      <w:r w:rsidRPr="00360C8F">
        <w:rPr>
          <w:color w:val="FF0000"/>
          <w:sz w:val="20"/>
        </w:rPr>
        <w:t>XX on XX Month 20XX</w:t>
      </w:r>
      <w:r w:rsidRPr="00360C8F">
        <w:rPr>
          <w:sz w:val="20"/>
        </w:rPr>
        <w:t xml:space="preserve">. This means that this date is the gazettal date for the purposes of clause 3 of the variation. </w:t>
      </w:r>
    </w:p>
    <w:p w14:paraId="2C4FE57F" w14:textId="77777777" w:rsidR="00732F91" w:rsidRDefault="00732F91" w:rsidP="00732F91">
      <w:pPr>
        <w:rPr>
          <w:sz w:val="20"/>
        </w:rPr>
      </w:pPr>
    </w:p>
    <w:p w14:paraId="10241574" w14:textId="77777777" w:rsidR="00732F91" w:rsidRDefault="00732F91" w:rsidP="00732F91">
      <w:pPr>
        <w:widowControl/>
        <w:rPr>
          <w:sz w:val="20"/>
        </w:rPr>
      </w:pPr>
      <w:r>
        <w:rPr>
          <w:sz w:val="20"/>
        </w:rPr>
        <w:br w:type="page"/>
      </w:r>
    </w:p>
    <w:p w14:paraId="5357AE39" w14:textId="77777777" w:rsidR="00732F91" w:rsidRPr="005F585D" w:rsidRDefault="00732F91" w:rsidP="00732F91">
      <w:pPr>
        <w:pStyle w:val="FSCDraftingitemheading"/>
      </w:pPr>
      <w:r w:rsidRPr="00D433B1">
        <w:lastRenderedPageBreak/>
        <w:t>1</w:t>
      </w:r>
      <w:r w:rsidRPr="00D433B1">
        <w:tab/>
        <w:t>Name</w:t>
      </w:r>
    </w:p>
    <w:p w14:paraId="65C3AB8E" w14:textId="77777777" w:rsidR="00732F91" w:rsidRPr="00F618DF" w:rsidRDefault="00732F91" w:rsidP="00732F91">
      <w:pPr>
        <w:pStyle w:val="FSCDraftingitem"/>
      </w:pPr>
      <w:r w:rsidRPr="00DB170D">
        <w:t xml:space="preserve">This instrument is the </w:t>
      </w:r>
      <w:r w:rsidRPr="00792F7C">
        <w:rPr>
          <w:i/>
        </w:rPr>
        <w:t>Food Standards (</w:t>
      </w:r>
      <w:r w:rsidRPr="00A5343E">
        <w:rPr>
          <w:i/>
        </w:rPr>
        <w:t>Application A1178 – Method AOAC 2017.16 as a new method of analysis for total dietary fibre</w:t>
      </w:r>
      <w:r>
        <w:rPr>
          <w:i/>
        </w:rPr>
        <w:t xml:space="preserve">) </w:t>
      </w:r>
      <w:r w:rsidRPr="00792F7C">
        <w:rPr>
          <w:i/>
        </w:rPr>
        <w:t>Variation</w:t>
      </w:r>
      <w:r w:rsidRPr="00F618DF">
        <w:t>.</w:t>
      </w:r>
    </w:p>
    <w:p w14:paraId="1E99412D" w14:textId="77777777" w:rsidR="00732F91" w:rsidRPr="00E26F38" w:rsidRDefault="00732F91" w:rsidP="00732F91">
      <w:pPr>
        <w:pStyle w:val="FSCDraftingitemheading"/>
      </w:pPr>
      <w:r w:rsidRPr="00D433B1">
        <w:t>2</w:t>
      </w:r>
      <w:r w:rsidRPr="00D433B1">
        <w:tab/>
      </w:r>
      <w:r w:rsidRPr="00E26F38">
        <w:t xml:space="preserve">Variation to a standard in the </w:t>
      </w:r>
      <w:r w:rsidRPr="00E26F38">
        <w:rPr>
          <w:i/>
        </w:rPr>
        <w:t>Australia New Zealand Food Standards Code</w:t>
      </w:r>
    </w:p>
    <w:p w14:paraId="786625F9" w14:textId="77777777" w:rsidR="00732F91" w:rsidRDefault="00732F91" w:rsidP="00732F91">
      <w:pPr>
        <w:pStyle w:val="FSCDraftingitem"/>
      </w:pPr>
      <w:r w:rsidRPr="00E26F38">
        <w:t xml:space="preserve">The Schedule varies a </w:t>
      </w:r>
      <w:r>
        <w:t>s</w:t>
      </w:r>
      <w:r w:rsidRPr="00E26F38">
        <w:t xml:space="preserve">tandard in </w:t>
      </w:r>
      <w:r>
        <w:t xml:space="preserve">the </w:t>
      </w:r>
      <w:r w:rsidRPr="00792F7C">
        <w:rPr>
          <w:i/>
        </w:rPr>
        <w:t>Australia New Zealand Food Standards Code</w:t>
      </w:r>
      <w:r>
        <w:t>.</w:t>
      </w:r>
    </w:p>
    <w:p w14:paraId="01CBBE5E" w14:textId="77777777" w:rsidR="00732F91" w:rsidRPr="00D433B1" w:rsidRDefault="00732F91" w:rsidP="00732F91">
      <w:pPr>
        <w:pStyle w:val="FSCDraftingitemheading"/>
      </w:pPr>
      <w:r w:rsidRPr="00D433B1">
        <w:t>3</w:t>
      </w:r>
      <w:r w:rsidRPr="00D433B1">
        <w:tab/>
        <w:t>Commencement</w:t>
      </w:r>
    </w:p>
    <w:p w14:paraId="0052C7D6" w14:textId="77777777" w:rsidR="00732F91" w:rsidRDefault="00732F91" w:rsidP="00732F91">
      <w:pPr>
        <w:pStyle w:val="FSCDraftingitem"/>
      </w:pPr>
      <w:r>
        <w:t>The variation commenc</w:t>
      </w:r>
      <w:r w:rsidRPr="000055C4">
        <w:t>e</w:t>
      </w:r>
      <w:r>
        <w:t>s</w:t>
      </w:r>
      <w:r w:rsidRPr="000055C4">
        <w:t xml:space="preserve"> on</w:t>
      </w:r>
      <w:r>
        <w:t xml:space="preserve"> the date of gazettal.</w:t>
      </w:r>
    </w:p>
    <w:p w14:paraId="02C90C41" w14:textId="77777777" w:rsidR="00732F91" w:rsidRPr="00D433B1" w:rsidRDefault="00732F91" w:rsidP="00732F91">
      <w:pPr>
        <w:jc w:val="center"/>
        <w:rPr>
          <w:b/>
          <w:sz w:val="20"/>
        </w:rPr>
      </w:pPr>
      <w:r w:rsidRPr="00D433B1">
        <w:rPr>
          <w:b/>
          <w:sz w:val="20"/>
        </w:rPr>
        <w:t>Schedule</w:t>
      </w:r>
    </w:p>
    <w:p w14:paraId="75E7C3DD" w14:textId="77777777" w:rsidR="00732F91" w:rsidRPr="00E26F38" w:rsidRDefault="00732F91" w:rsidP="00732F91">
      <w:pPr>
        <w:pStyle w:val="FSCDraftingitem"/>
      </w:pPr>
      <w:r w:rsidRPr="00E26F38">
        <w:rPr>
          <w:b/>
          <w:lang w:bidi="en-US"/>
        </w:rPr>
        <w:t>[1]</w:t>
      </w:r>
      <w:r w:rsidRPr="00E26F38">
        <w:rPr>
          <w:b/>
          <w:lang w:bidi="en-US"/>
        </w:rPr>
        <w:tab/>
        <w:t xml:space="preserve"> Schedule </w:t>
      </w:r>
      <w:r>
        <w:rPr>
          <w:b/>
          <w:lang w:bidi="en-US"/>
        </w:rPr>
        <w:t>11</w:t>
      </w:r>
      <w:r w:rsidRPr="00E26F38">
        <w:rPr>
          <w:lang w:bidi="en-US"/>
        </w:rPr>
        <w:t xml:space="preserve"> is varied by</w:t>
      </w:r>
    </w:p>
    <w:p w14:paraId="5751F652" w14:textId="77777777" w:rsidR="00732F91" w:rsidRDefault="00732F91" w:rsidP="00732F91">
      <w:pPr>
        <w:pStyle w:val="FSCDraftingitem"/>
      </w:pPr>
      <w:r w:rsidRPr="00E26F38">
        <w:t>[1.1]</w:t>
      </w:r>
      <w:r w:rsidRPr="00E26F38">
        <w:tab/>
      </w:r>
      <w:r>
        <w:t>omitting paragraph S11—4(2)(a), substituting</w:t>
      </w:r>
    </w:p>
    <w:p w14:paraId="7E6388AB" w14:textId="77777777" w:rsidR="00732F91" w:rsidRPr="00E26F38" w:rsidRDefault="00732F91" w:rsidP="00732F91">
      <w:pPr>
        <w:pStyle w:val="FSCtPara"/>
        <w:ind w:left="1985" w:hanging="851"/>
      </w:pPr>
      <w:r>
        <w:t>(a)</w:t>
      </w:r>
      <w:r>
        <w:tab/>
      </w:r>
      <w:r w:rsidRPr="00D64DBB">
        <w:t>for dietary fibre—sections 985.29</w:t>
      </w:r>
      <w:r>
        <w:t>,</w:t>
      </w:r>
      <w:r w:rsidRPr="00D64DBB">
        <w:t xml:space="preserve"> or 991.43</w:t>
      </w:r>
      <w:r>
        <w:t>, or 2017.16</w:t>
      </w:r>
      <w:r w:rsidRPr="00D64DBB">
        <w:t>;</w:t>
      </w:r>
    </w:p>
    <w:p w14:paraId="4B7F0301" w14:textId="77777777" w:rsidR="00732F91" w:rsidRDefault="00732F91" w:rsidP="00732F91">
      <w:pPr>
        <w:pStyle w:val="FSCDraftingitem"/>
      </w:pPr>
      <w:r w:rsidRPr="00E26F38">
        <w:t>[1.</w:t>
      </w:r>
      <w:r>
        <w:t>2</w:t>
      </w:r>
      <w:r w:rsidRPr="00E26F38">
        <w:t>]</w:t>
      </w:r>
      <w:r w:rsidRPr="00E26F38">
        <w:tab/>
      </w:r>
      <w:r>
        <w:t>omitting subsection S11—4(4), substituting</w:t>
      </w:r>
    </w:p>
    <w:p w14:paraId="62A31301" w14:textId="77777777" w:rsidR="00732F91" w:rsidRDefault="00732F91" w:rsidP="00732F91">
      <w:pPr>
        <w:pStyle w:val="FSCtMain"/>
        <w:ind w:hanging="1134"/>
      </w:pPr>
      <w:r w:rsidRPr="004B2634">
        <w:t>(4)</w:t>
      </w:r>
      <w:r>
        <w:tab/>
        <w:t>In this section:</w:t>
      </w:r>
    </w:p>
    <w:p w14:paraId="6C75BD5B" w14:textId="6170BA5A" w:rsidR="00456BD5" w:rsidRPr="00795D86" w:rsidRDefault="00732F91" w:rsidP="00A46A78">
      <w:pPr>
        <w:pStyle w:val="FSCtMain"/>
        <w:ind w:left="1134"/>
      </w:pPr>
      <w:r>
        <w:tab/>
      </w:r>
      <w:r w:rsidRPr="008266F0">
        <w:t xml:space="preserve">AOAC means the </w:t>
      </w:r>
      <w:r w:rsidRPr="008266F0">
        <w:rPr>
          <w:i/>
        </w:rPr>
        <w:t>Official Methods of Analysis of AOAC International</w:t>
      </w:r>
      <w:r w:rsidRPr="008266F0">
        <w:t>, twenty first edition, 2019, published by AOAC International, Maryland USA.</w:t>
      </w:r>
    </w:p>
    <w:p w14:paraId="7BEE38ED" w14:textId="77777777" w:rsidR="00456BD5" w:rsidRDefault="00456BD5" w:rsidP="003B1739">
      <w:pPr>
        <w:pStyle w:val="Heading1"/>
      </w:pPr>
      <w:r w:rsidRPr="00932F14">
        <w:br w:type="page"/>
      </w:r>
      <w:bookmarkStart w:id="173" w:name="_Toc86240857"/>
      <w:r w:rsidR="005E06C0" w:rsidRPr="00932F14">
        <w:lastRenderedPageBreak/>
        <w:t xml:space="preserve">Attachment </w:t>
      </w:r>
      <w:r w:rsidR="005E06C0">
        <w:t xml:space="preserve">B – </w:t>
      </w:r>
      <w:r>
        <w:t>Explanatory Statement</w:t>
      </w:r>
      <w:bookmarkEnd w:id="173"/>
    </w:p>
    <w:p w14:paraId="24450CA3" w14:textId="74E5DD3F" w:rsidR="00456BD5" w:rsidRPr="003B1739" w:rsidRDefault="003B1739" w:rsidP="003648E6">
      <w:pPr>
        <w:spacing w:before="120" w:after="120"/>
        <w:rPr>
          <w:b/>
          <w:lang w:val="en-AU" w:eastAsia="en-GB" w:bidi="ar-SA"/>
        </w:rPr>
      </w:pPr>
      <w:r>
        <w:rPr>
          <w:b/>
          <w:lang w:val="en-AU" w:eastAsia="en-GB" w:bidi="ar-SA"/>
        </w:rPr>
        <w:t>1.</w:t>
      </w:r>
      <w:r>
        <w:rPr>
          <w:b/>
          <w:lang w:val="en-AU" w:eastAsia="en-GB" w:bidi="ar-SA"/>
        </w:rPr>
        <w:tab/>
        <w:t>Authority</w:t>
      </w:r>
    </w:p>
    <w:p w14:paraId="63EC1329" w14:textId="1D656FD9" w:rsidR="00456BD5" w:rsidRPr="003B1739" w:rsidRDefault="00456BD5" w:rsidP="000206E9">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 xml:space="preserve">Act) provides that the </w:t>
      </w:r>
      <w:r w:rsidRPr="003B1739">
        <w:rPr>
          <w:rFonts w:eastAsia="Calibri" w:cs="Arial"/>
          <w:bCs/>
          <w:szCs w:val="22"/>
          <w:lang w:val="en-AU" w:bidi="ar-SA"/>
        </w:rPr>
        <w:t xml:space="preserve">functions of Food Standards Australia New Zealand (the Authority) include the development of standards and variations of standards for inclusion in the </w:t>
      </w:r>
      <w:r w:rsidRPr="003B1739">
        <w:rPr>
          <w:rFonts w:eastAsia="Calibri" w:cs="Arial"/>
          <w:bCs/>
          <w:i/>
          <w:szCs w:val="22"/>
          <w:lang w:val="en-AU" w:bidi="ar-SA"/>
        </w:rPr>
        <w:t>Australia New Zealand Food Standards Code</w:t>
      </w:r>
      <w:r w:rsidR="003B1739" w:rsidRPr="003B1739">
        <w:rPr>
          <w:rFonts w:eastAsia="Calibri" w:cs="Arial"/>
          <w:bCs/>
          <w:szCs w:val="22"/>
          <w:lang w:val="en-AU" w:bidi="ar-SA"/>
        </w:rPr>
        <w:t xml:space="preserve"> (the Code).</w:t>
      </w:r>
    </w:p>
    <w:p w14:paraId="2E47AD6B" w14:textId="55536516" w:rsidR="00456BD5" w:rsidRPr="003B1739" w:rsidRDefault="00456BD5" w:rsidP="000206E9">
      <w:pPr>
        <w:widowControl/>
        <w:autoSpaceDE w:val="0"/>
        <w:autoSpaceDN w:val="0"/>
        <w:adjustRightInd w:val="0"/>
        <w:spacing w:before="120" w:after="120"/>
        <w:jc w:val="both"/>
        <w:rPr>
          <w:rFonts w:eastAsia="Calibri" w:cs="Arial"/>
          <w:bCs/>
          <w:szCs w:val="22"/>
          <w:lang w:val="en-AU" w:bidi="ar-SA"/>
        </w:rPr>
      </w:pPr>
      <w:r w:rsidRPr="003B1739">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3B1739" w:rsidRPr="003B1739">
        <w:rPr>
          <w:rFonts w:eastAsia="Calibri" w:cs="Arial"/>
          <w:bCs/>
          <w:szCs w:val="22"/>
          <w:lang w:val="en-AU" w:bidi="ar-SA"/>
        </w:rPr>
        <w:t xml:space="preserve">. </w:t>
      </w:r>
    </w:p>
    <w:p w14:paraId="107D1A73" w14:textId="4C941136" w:rsidR="00456BD5" w:rsidRPr="003B1739" w:rsidRDefault="00456BD5" w:rsidP="000206E9">
      <w:pPr>
        <w:widowControl/>
        <w:autoSpaceDE w:val="0"/>
        <w:autoSpaceDN w:val="0"/>
        <w:adjustRightInd w:val="0"/>
        <w:spacing w:before="120" w:after="120"/>
        <w:jc w:val="both"/>
        <w:rPr>
          <w:rFonts w:eastAsia="Calibri" w:cs="Arial"/>
          <w:bCs/>
          <w:szCs w:val="22"/>
          <w:lang w:val="en-AU" w:bidi="ar-SA"/>
        </w:rPr>
      </w:pPr>
      <w:r w:rsidRPr="003B1739">
        <w:rPr>
          <w:rFonts w:eastAsia="Calibri" w:cs="Arial"/>
          <w:bCs/>
          <w:szCs w:val="22"/>
          <w:lang w:val="en-AU" w:bidi="ar-SA"/>
        </w:rPr>
        <w:t>The Authority accepted Application A</w:t>
      </w:r>
      <w:r w:rsidR="004F7C8E" w:rsidRPr="003B1739">
        <w:rPr>
          <w:rFonts w:eastAsia="Calibri" w:cs="Arial"/>
          <w:bCs/>
          <w:szCs w:val="22"/>
          <w:lang w:val="en-AU" w:bidi="ar-SA"/>
        </w:rPr>
        <w:t>1178</w:t>
      </w:r>
      <w:r w:rsidRPr="003B1739">
        <w:rPr>
          <w:rFonts w:eastAsia="Calibri" w:cs="Arial"/>
          <w:bCs/>
          <w:szCs w:val="22"/>
          <w:lang w:val="en-AU" w:bidi="ar-SA"/>
        </w:rPr>
        <w:t xml:space="preserve"> which </w:t>
      </w:r>
      <w:r w:rsidR="004F7C8E" w:rsidRPr="003B1739">
        <w:rPr>
          <w:rFonts w:eastAsia="Calibri" w:cs="Arial"/>
          <w:bCs/>
          <w:szCs w:val="22"/>
          <w:lang w:val="en-AU" w:bidi="ar-SA"/>
        </w:rPr>
        <w:t xml:space="preserve">sought an amendment to the Code </w:t>
      </w:r>
      <w:r w:rsidRPr="003B1739">
        <w:rPr>
          <w:rFonts w:eastAsia="Calibri" w:cs="Arial"/>
          <w:bCs/>
          <w:szCs w:val="22"/>
          <w:lang w:val="en-AU" w:bidi="ar-SA"/>
        </w:rPr>
        <w:t xml:space="preserve">to </w:t>
      </w:r>
      <w:r w:rsidR="004F7C8E" w:rsidRPr="003B1739">
        <w:t xml:space="preserve">permit </w:t>
      </w:r>
      <w:r w:rsidR="00920BAA" w:rsidRPr="003B1739">
        <w:rPr>
          <w:rFonts w:cs="Arial"/>
          <w:szCs w:val="22"/>
        </w:rPr>
        <w:t>the use of a new method of analysis for determining total dietary fibre in food. The method is AOAC</w:t>
      </w:r>
      <w:r w:rsidR="00920BAA" w:rsidRPr="003B1739">
        <w:rPr>
          <w:rStyle w:val="FootnoteReference"/>
          <w:rFonts w:cs="Arial"/>
          <w:szCs w:val="22"/>
        </w:rPr>
        <w:footnoteReference w:id="17"/>
      </w:r>
      <w:r w:rsidR="00920BAA" w:rsidRPr="003B1739">
        <w:rPr>
          <w:rFonts w:cs="Arial"/>
          <w:szCs w:val="22"/>
        </w:rPr>
        <w:t xml:space="preserve"> Official Method 2017.16 (</w:t>
      </w:r>
      <w:r w:rsidR="00920BAA" w:rsidRPr="003B1739">
        <w:rPr>
          <w:rFonts w:cs="Arial"/>
          <w:bCs/>
          <w:szCs w:val="22"/>
        </w:rPr>
        <w:t>Rapid Integrated Total Dietary Fibre method of analysis) (AOAC 2017.16).</w:t>
      </w:r>
      <w:r w:rsidRPr="003B1739">
        <w:rPr>
          <w:rFonts w:eastAsia="Calibri" w:cs="Arial"/>
          <w:bCs/>
          <w:szCs w:val="22"/>
          <w:lang w:val="en-AU" w:bidi="ar-SA"/>
        </w:rPr>
        <w:t xml:space="preserve"> The Authority considered the Application in accordance with Division 1 of Part 3 and has approved a draft </w:t>
      </w:r>
      <w:r w:rsidR="00FF6ED1">
        <w:rPr>
          <w:rFonts w:eastAsia="Calibri" w:cs="Arial"/>
          <w:bCs/>
          <w:szCs w:val="22"/>
          <w:lang w:val="en-AU" w:bidi="ar-SA"/>
        </w:rPr>
        <w:t>variation</w:t>
      </w:r>
      <w:r w:rsidRPr="003B1739">
        <w:rPr>
          <w:rFonts w:eastAsia="Calibri" w:cs="Arial"/>
          <w:bCs/>
          <w:szCs w:val="22"/>
          <w:lang w:val="en-AU" w:bidi="ar-SA"/>
        </w:rPr>
        <w:t xml:space="preserve">. </w:t>
      </w:r>
    </w:p>
    <w:p w14:paraId="1553F09E" w14:textId="6FB4894D" w:rsidR="00456BD5" w:rsidRPr="003B1739" w:rsidRDefault="00456BD5" w:rsidP="000206E9">
      <w:pPr>
        <w:widowControl/>
        <w:autoSpaceDE w:val="0"/>
        <w:autoSpaceDN w:val="0"/>
        <w:adjustRightInd w:val="0"/>
        <w:spacing w:before="120" w:after="120"/>
        <w:jc w:val="both"/>
        <w:rPr>
          <w:rFonts w:eastAsia="Calibri" w:cs="Arial"/>
          <w:bCs/>
          <w:szCs w:val="22"/>
          <w:lang w:val="en-AU" w:bidi="ar-SA"/>
        </w:rPr>
      </w:pPr>
      <w:r w:rsidRPr="003B1739">
        <w:rPr>
          <w:rFonts w:eastAsia="Calibri" w:cs="Arial"/>
          <w:bCs/>
          <w:szCs w:val="22"/>
          <w:lang w:val="en-AU" w:bidi="ar-SA"/>
        </w:rPr>
        <w:t>Following consideration by the</w:t>
      </w:r>
      <w:r w:rsidR="009A091F">
        <w:rPr>
          <w:rFonts w:eastAsia="Calibri" w:cs="Arial"/>
          <w:bCs/>
          <w:szCs w:val="22"/>
          <w:lang w:val="en-AU" w:bidi="ar-SA"/>
        </w:rPr>
        <w:t xml:space="preserve"> Food Ministers’ Meeting</w:t>
      </w:r>
      <w:r w:rsidR="009A091F">
        <w:rPr>
          <w:rStyle w:val="FootnoteReference"/>
          <w:rFonts w:cs="Arial"/>
        </w:rPr>
        <w:footnoteReference w:id="18"/>
      </w:r>
      <w:r w:rsidR="009A091F" w:rsidRPr="00D13E34">
        <w:rPr>
          <w:rFonts w:eastAsia="Calibri" w:cs="Arial"/>
          <w:bCs/>
          <w:szCs w:val="22"/>
          <w:lang w:val="en-AU" w:bidi="ar-SA"/>
        </w:rPr>
        <w:t xml:space="preserve">, </w:t>
      </w:r>
      <w:r w:rsidRPr="003B1739">
        <w:rPr>
          <w:rFonts w:eastAsia="Calibri" w:cs="Arial"/>
          <w:bCs/>
          <w:szCs w:val="22"/>
          <w:lang w:val="en-AU" w:bidi="ar-SA"/>
        </w:rPr>
        <w:t xml:space="preserve">section 92 of the FSANZ Act stipulates that the Authority must publish a notice about the standard or draft variation of a standard. </w:t>
      </w:r>
    </w:p>
    <w:p w14:paraId="27A5318E" w14:textId="22395E9E" w:rsidR="00456BD5" w:rsidRPr="003B1739" w:rsidRDefault="00456BD5" w:rsidP="000206E9">
      <w:pPr>
        <w:widowControl/>
        <w:autoSpaceDE w:val="0"/>
        <w:autoSpaceDN w:val="0"/>
        <w:adjustRightInd w:val="0"/>
        <w:spacing w:before="120" w:after="120"/>
        <w:jc w:val="both"/>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7E347E" w14:textId="52647D88" w:rsidR="00456BD5" w:rsidRPr="003B1739" w:rsidRDefault="00456BD5" w:rsidP="003648E6">
      <w:pPr>
        <w:spacing w:before="120" w:after="120"/>
        <w:rPr>
          <w:b/>
          <w:lang w:val="en-AU" w:eastAsia="en-GB" w:bidi="ar-SA"/>
        </w:rPr>
      </w:pPr>
      <w:r>
        <w:rPr>
          <w:b/>
          <w:lang w:val="en-AU" w:eastAsia="en-GB" w:bidi="ar-SA"/>
        </w:rPr>
        <w:t>2.</w:t>
      </w:r>
      <w:r>
        <w:rPr>
          <w:b/>
          <w:lang w:val="en-AU" w:eastAsia="en-GB" w:bidi="ar-SA"/>
        </w:rPr>
        <w:tab/>
        <w:t xml:space="preserve">Purpose </w:t>
      </w:r>
    </w:p>
    <w:p w14:paraId="25164526" w14:textId="3C1F0495" w:rsidR="00456BD5" w:rsidRPr="003B1739" w:rsidRDefault="00920BAA" w:rsidP="000206E9">
      <w:pPr>
        <w:widowControl/>
        <w:spacing w:before="120" w:after="120"/>
        <w:jc w:val="both"/>
        <w:rPr>
          <w:rFonts w:cs="Arial"/>
          <w:szCs w:val="22"/>
        </w:rPr>
      </w:pPr>
      <w:r w:rsidRPr="00624DD2">
        <w:rPr>
          <w:lang w:eastAsia="en-GB"/>
        </w:rPr>
        <w:t xml:space="preserve">The Authority </w:t>
      </w:r>
      <w:r>
        <w:rPr>
          <w:lang w:eastAsia="en-GB"/>
        </w:rPr>
        <w:t xml:space="preserve">has </w:t>
      </w:r>
      <w:r w:rsidRPr="003B1739">
        <w:rPr>
          <w:lang w:eastAsia="en-GB"/>
        </w:rPr>
        <w:t>approved</w:t>
      </w:r>
      <w:r w:rsidRPr="00624DD2">
        <w:rPr>
          <w:lang w:eastAsia="en-GB"/>
        </w:rPr>
        <w:t xml:space="preserve"> the </w:t>
      </w:r>
      <w:r>
        <w:rPr>
          <w:lang w:eastAsia="en-GB"/>
        </w:rPr>
        <w:t xml:space="preserve">draft </w:t>
      </w:r>
      <w:r w:rsidRPr="00624DD2">
        <w:rPr>
          <w:lang w:eastAsia="en-GB"/>
        </w:rPr>
        <w:t>variation</w:t>
      </w:r>
      <w:r>
        <w:rPr>
          <w:lang w:eastAsia="en-GB"/>
        </w:rPr>
        <w:t>, which</w:t>
      </w:r>
      <w:r w:rsidRPr="00624DD2">
        <w:rPr>
          <w:lang w:eastAsia="en-GB"/>
        </w:rPr>
        <w:t xml:space="preserve"> </w:t>
      </w:r>
      <w:r>
        <w:rPr>
          <w:lang w:eastAsia="en-GB"/>
        </w:rPr>
        <w:t>amends</w:t>
      </w:r>
      <w:r w:rsidRPr="00624DD2">
        <w:rPr>
          <w:lang w:eastAsia="en-GB"/>
        </w:rPr>
        <w:t xml:space="preserve"> </w:t>
      </w:r>
      <w:r w:rsidRPr="00624DD2">
        <w:rPr>
          <w:rFonts w:cs="Arial"/>
          <w:szCs w:val="22"/>
        </w:rPr>
        <w:t>section S11</w:t>
      </w:r>
      <w:r w:rsidR="00DD72D6">
        <w:rPr>
          <w:rFonts w:cs="Arial"/>
          <w:szCs w:val="22"/>
        </w:rPr>
        <w:t>—</w:t>
      </w:r>
      <w:r w:rsidRPr="00624DD2">
        <w:rPr>
          <w:rFonts w:cs="Arial"/>
          <w:szCs w:val="22"/>
        </w:rPr>
        <w:t xml:space="preserve">4 of </w:t>
      </w:r>
      <w:r w:rsidRPr="00624DD2">
        <w:rPr>
          <w:lang w:eastAsia="en-GB"/>
        </w:rPr>
        <w:t>the Code</w:t>
      </w:r>
      <w:r>
        <w:rPr>
          <w:lang w:eastAsia="en-GB"/>
        </w:rPr>
        <w:t>,</w:t>
      </w:r>
      <w:r w:rsidRPr="00624DD2">
        <w:rPr>
          <w:lang w:eastAsia="en-GB"/>
        </w:rPr>
        <w:t xml:space="preserve"> to</w:t>
      </w:r>
      <w:r w:rsidRPr="00624DD2">
        <w:rPr>
          <w:rFonts w:cs="Arial"/>
          <w:lang w:eastAsia="en-GB"/>
        </w:rPr>
        <w:t xml:space="preserve"> </w:t>
      </w:r>
      <w:r>
        <w:rPr>
          <w:rFonts w:cs="Arial"/>
          <w:lang w:eastAsia="en-GB"/>
        </w:rPr>
        <w:t>permit</w:t>
      </w:r>
      <w:r w:rsidRPr="00624DD2">
        <w:rPr>
          <w:rFonts w:cs="Arial"/>
          <w:lang w:eastAsia="en-GB"/>
        </w:rPr>
        <w:t xml:space="preserve"> </w:t>
      </w:r>
      <w:r>
        <w:rPr>
          <w:rFonts w:cs="Arial"/>
          <w:lang w:eastAsia="en-GB"/>
        </w:rPr>
        <w:t xml:space="preserve">the use of </w:t>
      </w:r>
      <w:r w:rsidRPr="00624DD2">
        <w:rPr>
          <w:rFonts w:cs="Arial"/>
          <w:szCs w:val="22"/>
        </w:rPr>
        <w:t xml:space="preserve">AOAC </w:t>
      </w:r>
      <w:r>
        <w:rPr>
          <w:rFonts w:cs="Arial"/>
          <w:szCs w:val="22"/>
        </w:rPr>
        <w:t>2017.16</w:t>
      </w:r>
      <w:r w:rsidRPr="00624DD2">
        <w:rPr>
          <w:rFonts w:cs="Arial"/>
          <w:lang w:eastAsia="en-GB"/>
        </w:rPr>
        <w:t xml:space="preserve"> </w:t>
      </w:r>
      <w:r>
        <w:rPr>
          <w:rFonts w:cs="Arial"/>
          <w:lang w:eastAsia="en-GB"/>
        </w:rPr>
        <w:t>when</w:t>
      </w:r>
      <w:r w:rsidRPr="00624DD2">
        <w:rPr>
          <w:rFonts w:cs="Arial"/>
          <w:lang w:eastAsia="en-GB"/>
        </w:rPr>
        <w:t xml:space="preserve"> </w:t>
      </w:r>
      <w:r>
        <w:rPr>
          <w:rFonts w:cs="Arial"/>
          <w:lang w:eastAsia="en-GB"/>
        </w:rPr>
        <w:t>determining</w:t>
      </w:r>
      <w:r w:rsidRPr="00624DD2">
        <w:rPr>
          <w:rFonts w:cs="Arial"/>
          <w:lang w:eastAsia="en-GB"/>
        </w:rPr>
        <w:t xml:space="preserve"> the </w:t>
      </w:r>
      <w:r>
        <w:rPr>
          <w:rFonts w:cs="Arial"/>
          <w:lang w:eastAsia="en-GB"/>
        </w:rPr>
        <w:t xml:space="preserve">total </w:t>
      </w:r>
      <w:r w:rsidRPr="00624DD2">
        <w:rPr>
          <w:rFonts w:cs="Arial"/>
          <w:lang w:eastAsia="en-GB"/>
        </w:rPr>
        <w:t xml:space="preserve">amount of </w:t>
      </w:r>
      <w:r>
        <w:rPr>
          <w:rFonts w:cs="Arial"/>
          <w:lang w:eastAsia="en-GB"/>
        </w:rPr>
        <w:t>dietary fibre</w:t>
      </w:r>
      <w:r w:rsidRPr="00624DD2">
        <w:rPr>
          <w:rFonts w:cs="Arial"/>
          <w:lang w:eastAsia="en-GB"/>
        </w:rPr>
        <w:t xml:space="preserve"> in food</w:t>
      </w:r>
      <w:r>
        <w:rPr>
          <w:rFonts w:cs="Arial"/>
          <w:lang w:eastAsia="en-GB"/>
        </w:rPr>
        <w:t xml:space="preserve"> in accordance with section S11</w:t>
      </w:r>
      <w:r w:rsidR="00DD72D6">
        <w:rPr>
          <w:rFonts w:cs="Arial"/>
          <w:lang w:eastAsia="en-GB"/>
        </w:rPr>
        <w:t>-—</w:t>
      </w:r>
      <w:r>
        <w:rPr>
          <w:rFonts w:cs="Arial"/>
          <w:lang w:eastAsia="en-GB"/>
        </w:rPr>
        <w:t>4 of the Code</w:t>
      </w:r>
      <w:r w:rsidRPr="00624DD2">
        <w:rPr>
          <w:rFonts w:cs="Arial"/>
          <w:lang w:eastAsia="en-GB"/>
        </w:rPr>
        <w:t xml:space="preserve"> for the purposes of </w:t>
      </w:r>
      <w:r w:rsidRPr="00624DD2">
        <w:rPr>
          <w:rFonts w:cs="Arial"/>
          <w:szCs w:val="22"/>
        </w:rPr>
        <w:t>subsections 1.2.8</w:t>
      </w:r>
      <w:r w:rsidR="00DD72D6">
        <w:rPr>
          <w:rFonts w:cs="Arial"/>
          <w:szCs w:val="22"/>
        </w:rPr>
        <w:t>—</w:t>
      </w:r>
      <w:r w:rsidRPr="00624DD2">
        <w:rPr>
          <w:rFonts w:cs="Arial"/>
          <w:szCs w:val="22"/>
        </w:rPr>
        <w:t>7(7) and S5</w:t>
      </w:r>
      <w:r w:rsidR="00DD72D6">
        <w:rPr>
          <w:rFonts w:cs="Arial"/>
          <w:szCs w:val="22"/>
        </w:rPr>
        <w:t>—</w:t>
      </w:r>
      <w:r w:rsidRPr="00624DD2">
        <w:rPr>
          <w:rFonts w:cs="Arial"/>
          <w:szCs w:val="22"/>
        </w:rPr>
        <w:t xml:space="preserve">6(2) of the Code. </w:t>
      </w:r>
    </w:p>
    <w:p w14:paraId="3AF722DD" w14:textId="280ED12F" w:rsidR="00456BD5" w:rsidRPr="003B1739" w:rsidRDefault="00456BD5" w:rsidP="003648E6">
      <w:pPr>
        <w:spacing w:before="120" w:after="120"/>
        <w:rPr>
          <w:b/>
          <w:lang w:val="en-AU" w:eastAsia="en-GB" w:bidi="ar-SA"/>
        </w:rPr>
      </w:pPr>
      <w:r w:rsidRPr="000576EB">
        <w:rPr>
          <w:b/>
          <w:lang w:val="en-AU" w:eastAsia="en-GB" w:bidi="ar-SA"/>
        </w:rPr>
        <w:t>3.</w:t>
      </w:r>
      <w:r w:rsidRPr="000576EB">
        <w:rPr>
          <w:b/>
          <w:lang w:val="en-AU" w:eastAsia="en-GB" w:bidi="ar-SA"/>
        </w:rPr>
        <w:tab/>
        <w:t>Docu</w:t>
      </w:r>
      <w:r w:rsidR="003B1739">
        <w:rPr>
          <w:b/>
          <w:lang w:val="en-AU" w:eastAsia="en-GB" w:bidi="ar-SA"/>
        </w:rPr>
        <w:t>ments incorporated by reference</w:t>
      </w:r>
    </w:p>
    <w:p w14:paraId="4684AD3E" w14:textId="4AB58B30" w:rsidR="001C5EDB" w:rsidRPr="002A13BC" w:rsidRDefault="007C75B7" w:rsidP="000206E9">
      <w:pPr>
        <w:widowControl/>
        <w:autoSpaceDE w:val="0"/>
        <w:autoSpaceDN w:val="0"/>
        <w:adjustRightInd w:val="0"/>
        <w:jc w:val="both"/>
        <w:rPr>
          <w:rFonts w:eastAsia="Calibri" w:cs="Arial"/>
          <w:color w:val="000000"/>
          <w:szCs w:val="22"/>
          <w:lang w:bidi="ar-SA"/>
        </w:rPr>
      </w:pPr>
      <w:r>
        <w:rPr>
          <w:rFonts w:eastAsia="Calibri" w:cs="Arial"/>
          <w:bCs/>
          <w:color w:val="000000"/>
          <w:szCs w:val="22"/>
          <w:lang w:bidi="ar-SA"/>
        </w:rPr>
        <w:t>T</w:t>
      </w:r>
      <w:r w:rsidR="001C5EDB">
        <w:rPr>
          <w:rFonts w:eastAsia="Calibri" w:cs="Arial"/>
          <w:bCs/>
          <w:color w:val="000000"/>
          <w:szCs w:val="22"/>
          <w:lang w:bidi="ar-SA"/>
        </w:rPr>
        <w:t>he</w:t>
      </w:r>
      <w:r w:rsidR="001C5EDB" w:rsidRPr="002A13BC">
        <w:rPr>
          <w:rFonts w:eastAsia="Calibri" w:cs="Arial"/>
          <w:bCs/>
          <w:color w:val="000000"/>
          <w:szCs w:val="22"/>
          <w:lang w:bidi="ar-SA"/>
        </w:rPr>
        <w:t xml:space="preserve"> </w:t>
      </w:r>
      <w:r w:rsidR="00342817">
        <w:rPr>
          <w:rFonts w:eastAsia="Calibri" w:cs="Arial"/>
          <w:bCs/>
          <w:color w:val="000000"/>
          <w:szCs w:val="22"/>
          <w:lang w:bidi="ar-SA"/>
        </w:rPr>
        <w:t xml:space="preserve">approved draft </w:t>
      </w:r>
      <w:r w:rsidR="001C5EDB" w:rsidRPr="002A13BC">
        <w:rPr>
          <w:rFonts w:eastAsia="Calibri" w:cs="Arial"/>
          <w:bCs/>
          <w:color w:val="000000"/>
          <w:szCs w:val="22"/>
          <w:lang w:bidi="ar-SA"/>
        </w:rPr>
        <w:t xml:space="preserve">variation </w:t>
      </w:r>
      <w:r w:rsidR="001C5EDB">
        <w:rPr>
          <w:rFonts w:eastAsia="Calibri" w:cs="Arial"/>
          <w:color w:val="000000"/>
          <w:szCs w:val="22"/>
          <w:lang w:bidi="ar-SA"/>
        </w:rPr>
        <w:t>amend</w:t>
      </w:r>
      <w:r>
        <w:rPr>
          <w:rFonts w:eastAsia="Calibri" w:cs="Arial"/>
          <w:color w:val="000000"/>
          <w:szCs w:val="22"/>
          <w:lang w:bidi="ar-SA"/>
        </w:rPr>
        <w:t>s</w:t>
      </w:r>
      <w:r w:rsidR="001C5EDB">
        <w:rPr>
          <w:rFonts w:eastAsia="Calibri" w:cs="Arial"/>
          <w:color w:val="000000"/>
          <w:szCs w:val="22"/>
          <w:lang w:bidi="ar-SA"/>
        </w:rPr>
        <w:t xml:space="preserve"> a provision of the Code that incorporates methods of analysis </w:t>
      </w:r>
      <w:r w:rsidR="001C5EDB" w:rsidRPr="002A13BC">
        <w:rPr>
          <w:rFonts w:eastAsia="Calibri" w:cs="Arial"/>
          <w:color w:val="000000"/>
          <w:szCs w:val="22"/>
          <w:lang w:bidi="ar-SA"/>
        </w:rPr>
        <w:t xml:space="preserve">by reference to </w:t>
      </w:r>
      <w:r w:rsidR="001C5EDB">
        <w:rPr>
          <w:rFonts w:eastAsia="Calibri" w:cs="Arial"/>
          <w:color w:val="000000"/>
          <w:szCs w:val="22"/>
          <w:lang w:bidi="ar-SA"/>
        </w:rPr>
        <w:t>a specific document</w:t>
      </w:r>
      <w:r w:rsidR="001C5EDB" w:rsidRPr="002A13BC">
        <w:rPr>
          <w:rFonts w:eastAsia="Calibri" w:cs="Arial"/>
          <w:color w:val="000000"/>
          <w:szCs w:val="22"/>
          <w:lang w:bidi="ar-SA"/>
        </w:rPr>
        <w:t xml:space="preserve"> </w:t>
      </w:r>
      <w:r w:rsidR="001C5EDB">
        <w:rPr>
          <w:rFonts w:eastAsia="Calibri" w:cs="Arial"/>
          <w:color w:val="000000"/>
          <w:szCs w:val="22"/>
          <w:lang w:bidi="ar-SA"/>
        </w:rPr>
        <w:t xml:space="preserve">that is or will be </w:t>
      </w:r>
      <w:r w:rsidR="001C5EDB" w:rsidRPr="002A13BC">
        <w:rPr>
          <w:rFonts w:eastAsia="Calibri" w:cs="Arial"/>
          <w:color w:val="000000"/>
          <w:szCs w:val="22"/>
          <w:lang w:bidi="ar-SA"/>
        </w:rPr>
        <w:t>in force or existing at the commencement of the variation</w:t>
      </w:r>
      <w:r w:rsidR="001C5EDB">
        <w:rPr>
          <w:rFonts w:eastAsia="Calibri" w:cs="Arial"/>
          <w:color w:val="000000"/>
          <w:szCs w:val="22"/>
          <w:lang w:bidi="ar-SA"/>
        </w:rPr>
        <w:t xml:space="preserve">; namely, a specified edition of </w:t>
      </w:r>
      <w:r w:rsidR="001C5EDB" w:rsidRPr="00020206">
        <w:rPr>
          <w:rFonts w:eastAsia="Calibri" w:cs="Arial"/>
          <w:color w:val="000000"/>
          <w:szCs w:val="22"/>
          <w:lang w:bidi="ar-SA"/>
        </w:rPr>
        <w:t>the</w:t>
      </w:r>
      <w:r w:rsidR="001C5EDB" w:rsidRPr="005F2391">
        <w:rPr>
          <w:rFonts w:cs="Arial"/>
          <w:sz w:val="18"/>
          <w:szCs w:val="19"/>
        </w:rPr>
        <w:t xml:space="preserve"> </w:t>
      </w:r>
      <w:r w:rsidR="001C5EDB" w:rsidRPr="00020206">
        <w:rPr>
          <w:rFonts w:eastAsia="Calibri" w:cs="Arial"/>
          <w:i/>
          <w:color w:val="000000"/>
          <w:szCs w:val="22"/>
          <w:lang w:bidi="ar-SA"/>
        </w:rPr>
        <w:t>Official Methods of Analysis of AOAC International</w:t>
      </w:r>
      <w:r w:rsidR="001C5EDB" w:rsidRPr="00020206">
        <w:rPr>
          <w:rFonts w:eastAsia="Calibri" w:cs="Arial"/>
          <w:color w:val="000000"/>
          <w:szCs w:val="22"/>
          <w:lang w:bidi="ar-SA"/>
        </w:rPr>
        <w:t>, published by AOAC International</w:t>
      </w:r>
      <w:r w:rsidR="001C5EDB" w:rsidRPr="002A13BC">
        <w:rPr>
          <w:rFonts w:eastAsia="Calibri" w:cs="Arial"/>
          <w:color w:val="000000"/>
          <w:szCs w:val="22"/>
          <w:lang w:bidi="ar-SA"/>
        </w:rPr>
        <w:t>.</w:t>
      </w:r>
      <w:r w:rsidR="001C5EDB">
        <w:rPr>
          <w:rFonts w:eastAsia="Calibri" w:cs="Arial"/>
          <w:color w:val="000000"/>
          <w:szCs w:val="22"/>
          <w:lang w:bidi="ar-SA"/>
        </w:rPr>
        <w:t xml:space="preserve"> The </w:t>
      </w:r>
      <w:r w:rsidR="00342817">
        <w:rPr>
          <w:rFonts w:eastAsia="Calibri" w:cs="Arial"/>
          <w:bCs/>
          <w:color w:val="000000"/>
          <w:szCs w:val="22"/>
          <w:lang w:bidi="ar-SA"/>
        </w:rPr>
        <w:t xml:space="preserve">approved draft </w:t>
      </w:r>
      <w:r w:rsidR="001C5EDB" w:rsidRPr="002A13BC">
        <w:rPr>
          <w:rFonts w:eastAsia="Calibri" w:cs="Arial"/>
          <w:bCs/>
          <w:color w:val="000000"/>
          <w:szCs w:val="22"/>
          <w:lang w:bidi="ar-SA"/>
        </w:rPr>
        <w:t>variation</w:t>
      </w:r>
      <w:r w:rsidR="001C5EDB">
        <w:rPr>
          <w:rFonts w:eastAsia="Calibri" w:cs="Arial"/>
          <w:bCs/>
          <w:color w:val="000000"/>
          <w:szCs w:val="22"/>
          <w:lang w:bidi="ar-SA"/>
        </w:rPr>
        <w:t xml:space="preserve"> amend</w:t>
      </w:r>
      <w:r w:rsidR="0012118A">
        <w:rPr>
          <w:rFonts w:eastAsia="Calibri" w:cs="Arial"/>
          <w:bCs/>
          <w:color w:val="000000"/>
          <w:szCs w:val="22"/>
          <w:lang w:bidi="ar-SA"/>
        </w:rPr>
        <w:t>s</w:t>
      </w:r>
      <w:r w:rsidR="001C5EDB">
        <w:rPr>
          <w:rFonts w:eastAsia="Calibri" w:cs="Arial"/>
          <w:bCs/>
          <w:color w:val="000000"/>
          <w:szCs w:val="22"/>
          <w:lang w:bidi="ar-SA"/>
        </w:rPr>
        <w:t xml:space="preserve"> the provision to refer to a new edition of that publication.</w:t>
      </w:r>
    </w:p>
    <w:p w14:paraId="238596D4" w14:textId="1E09F0F4" w:rsidR="001C5EDB" w:rsidRPr="003B1739" w:rsidRDefault="001C5EDB" w:rsidP="000206E9">
      <w:pPr>
        <w:widowControl/>
        <w:autoSpaceDE w:val="0"/>
        <w:autoSpaceDN w:val="0"/>
        <w:adjustRightInd w:val="0"/>
        <w:spacing w:before="120" w:after="120"/>
        <w:jc w:val="both"/>
        <w:rPr>
          <w:rFonts w:eastAsia="Calibri" w:cs="Arial"/>
          <w:bCs/>
          <w:szCs w:val="22"/>
          <w:lang w:val="en-AU" w:bidi="ar-SA"/>
        </w:rPr>
      </w:pPr>
      <w:r>
        <w:rPr>
          <w:rFonts w:eastAsia="Calibri" w:cs="Arial"/>
          <w:color w:val="000000"/>
          <w:szCs w:val="22"/>
          <w:lang w:bidi="ar-SA"/>
        </w:rPr>
        <w:t xml:space="preserve">This reference </w:t>
      </w:r>
      <w:r w:rsidRPr="002A13BC">
        <w:rPr>
          <w:rFonts w:eastAsia="Calibri" w:cs="Arial"/>
          <w:color w:val="000000"/>
          <w:szCs w:val="22"/>
          <w:lang w:bidi="ar-SA"/>
        </w:rPr>
        <w:t xml:space="preserve">by incorporation </w:t>
      </w:r>
      <w:r>
        <w:rPr>
          <w:rFonts w:eastAsia="Calibri" w:cs="Arial"/>
          <w:color w:val="000000"/>
          <w:szCs w:val="22"/>
          <w:lang w:bidi="ar-SA"/>
        </w:rPr>
        <w:t>is</w:t>
      </w:r>
      <w:r w:rsidRPr="002A13BC">
        <w:rPr>
          <w:rFonts w:eastAsia="Calibri" w:cs="Arial"/>
          <w:color w:val="000000"/>
          <w:szCs w:val="22"/>
          <w:lang w:bidi="ar-SA"/>
        </w:rPr>
        <w:t xml:space="preserve"> consistent with the current</w:t>
      </w:r>
      <w:r w:rsidRPr="002A13BC">
        <w:rPr>
          <w:rFonts w:eastAsia="Calibri" w:cs="Arial"/>
          <w:bCs/>
          <w:color w:val="000000"/>
          <w:szCs w:val="22"/>
          <w:lang w:bidi="ar-SA"/>
        </w:rPr>
        <w:t xml:space="preserve"> </w:t>
      </w:r>
      <w:r w:rsidRPr="002A13BC">
        <w:rPr>
          <w:rFonts w:eastAsia="Calibri" w:cs="Arial"/>
          <w:color w:val="000000"/>
          <w:szCs w:val="22"/>
          <w:lang w:bidi="ar-SA"/>
        </w:rPr>
        <w:t>practice in the Code, particularly</w:t>
      </w:r>
      <w:r>
        <w:rPr>
          <w:rFonts w:eastAsia="Calibri" w:cs="Arial"/>
          <w:color w:val="000000"/>
          <w:szCs w:val="22"/>
          <w:lang w:bidi="ar-SA"/>
        </w:rPr>
        <w:t xml:space="preserve"> </w:t>
      </w:r>
      <w:r w:rsidRPr="00624DD2">
        <w:rPr>
          <w:rFonts w:cs="Arial"/>
          <w:szCs w:val="22"/>
        </w:rPr>
        <w:t xml:space="preserve">section S11—4 </w:t>
      </w:r>
      <w:r>
        <w:rPr>
          <w:rFonts w:cs="Arial"/>
          <w:szCs w:val="22"/>
        </w:rPr>
        <w:t xml:space="preserve"> and</w:t>
      </w:r>
      <w:r w:rsidRPr="002A13BC">
        <w:rPr>
          <w:rFonts w:eastAsia="Calibri" w:cs="Arial"/>
          <w:color w:val="000000"/>
          <w:szCs w:val="22"/>
          <w:lang w:bidi="ar-SA"/>
        </w:rPr>
        <w:t xml:space="preserve"> </w:t>
      </w:r>
      <w:r>
        <w:rPr>
          <w:rFonts w:eastAsia="Calibri" w:cs="Arial"/>
          <w:bCs/>
          <w:color w:val="000000"/>
          <w:szCs w:val="22"/>
          <w:lang w:bidi="ar-SA"/>
        </w:rPr>
        <w:t>Schedule 3.</w:t>
      </w:r>
    </w:p>
    <w:p w14:paraId="50B668E6" w14:textId="063EA745" w:rsidR="00456BD5" w:rsidRPr="003B1739" w:rsidRDefault="00456BD5" w:rsidP="003648E6">
      <w:pPr>
        <w:spacing w:before="120" w:after="120"/>
        <w:rPr>
          <w:b/>
          <w:lang w:val="en-AU" w:eastAsia="en-GB" w:bidi="ar-SA"/>
        </w:rPr>
      </w:pPr>
      <w:r w:rsidRPr="000576EB">
        <w:rPr>
          <w:b/>
          <w:lang w:val="en-AU" w:eastAsia="en-GB" w:bidi="ar-SA"/>
        </w:rPr>
        <w:t>4.</w:t>
      </w:r>
      <w:r w:rsidRPr="000576EB">
        <w:rPr>
          <w:b/>
          <w:lang w:val="en-AU" w:eastAsia="en-GB" w:bidi="ar-SA"/>
        </w:rPr>
        <w:tab/>
        <w:t>Consultation</w:t>
      </w:r>
    </w:p>
    <w:p w14:paraId="46F2C444" w14:textId="60B9AB9F" w:rsidR="00DD72D6" w:rsidRDefault="00456BD5" w:rsidP="00761E9B">
      <w:pPr>
        <w:spacing w:before="120" w:after="120"/>
        <w:jc w:val="both"/>
        <w:rPr>
          <w:szCs w:val="22"/>
        </w:rPr>
      </w:pPr>
      <w:r w:rsidRPr="00F634A1">
        <w:rPr>
          <w:szCs w:val="22"/>
        </w:rPr>
        <w:t xml:space="preserve">In accordance </w:t>
      </w:r>
      <w:r w:rsidRPr="003B1739">
        <w:rPr>
          <w:szCs w:val="22"/>
        </w:rPr>
        <w:t xml:space="preserve">with the procedure in Division </w:t>
      </w:r>
      <w:r w:rsidR="00DD72D6" w:rsidRPr="003B1739">
        <w:rPr>
          <w:szCs w:val="22"/>
        </w:rPr>
        <w:t>1</w:t>
      </w:r>
      <w:r w:rsidRPr="003B1739">
        <w:rPr>
          <w:szCs w:val="22"/>
        </w:rPr>
        <w:t xml:space="preserve"> of Part </w:t>
      </w:r>
      <w:r w:rsidR="00DD72D6" w:rsidRPr="003B1739">
        <w:rPr>
          <w:szCs w:val="22"/>
        </w:rPr>
        <w:t>3</w:t>
      </w:r>
      <w:r w:rsidRPr="003B1739">
        <w:rPr>
          <w:szCs w:val="22"/>
        </w:rPr>
        <w:t xml:space="preserve"> of the FSANZ Act, </w:t>
      </w:r>
      <w:r w:rsidRPr="003B1739">
        <w:rPr>
          <w:rFonts w:eastAsia="Calibri" w:cs="Arial"/>
          <w:bCs/>
          <w:szCs w:val="22"/>
          <w:lang w:val="en-AU" w:bidi="ar-SA"/>
        </w:rPr>
        <w:t>the Authority</w:t>
      </w:r>
      <w:r w:rsidRPr="003B1739">
        <w:rPr>
          <w:szCs w:val="22"/>
        </w:rPr>
        <w:t>’s consideration of Applic</w:t>
      </w:r>
      <w:r w:rsidR="00C17785" w:rsidRPr="003B1739">
        <w:rPr>
          <w:szCs w:val="22"/>
        </w:rPr>
        <w:t>ation</w:t>
      </w:r>
      <w:r w:rsidRPr="003B1739">
        <w:rPr>
          <w:szCs w:val="22"/>
        </w:rPr>
        <w:t xml:space="preserve"> </w:t>
      </w:r>
      <w:r w:rsidR="00C17785" w:rsidRPr="003B1739">
        <w:rPr>
          <w:szCs w:val="22"/>
        </w:rPr>
        <w:t>A1178</w:t>
      </w:r>
      <w:r w:rsidRPr="003B1739">
        <w:rPr>
          <w:szCs w:val="22"/>
        </w:rPr>
        <w:t xml:space="preserve"> included one round of public consultation following an assessment and the preparation of a draft </w:t>
      </w:r>
      <w:r w:rsidR="00FF6ED1">
        <w:rPr>
          <w:szCs w:val="22"/>
        </w:rPr>
        <w:t>variation</w:t>
      </w:r>
      <w:r w:rsidR="00FF6ED1" w:rsidRPr="003B1739">
        <w:rPr>
          <w:szCs w:val="22"/>
        </w:rPr>
        <w:t xml:space="preserve"> </w:t>
      </w:r>
      <w:r w:rsidRPr="003B1739">
        <w:rPr>
          <w:szCs w:val="22"/>
        </w:rPr>
        <w:t xml:space="preserve">and associated report. Submissions were called for on </w:t>
      </w:r>
      <w:r w:rsidR="004F7C8E" w:rsidRPr="003B1739">
        <w:rPr>
          <w:szCs w:val="22"/>
        </w:rPr>
        <w:t>21 May 2021</w:t>
      </w:r>
      <w:r w:rsidRPr="003B1739">
        <w:rPr>
          <w:szCs w:val="22"/>
        </w:rPr>
        <w:t xml:space="preserve"> for a </w:t>
      </w:r>
      <w:r w:rsidR="00EE2C64" w:rsidRPr="003B1739">
        <w:rPr>
          <w:szCs w:val="22"/>
        </w:rPr>
        <w:t>four</w:t>
      </w:r>
      <w:r w:rsidRPr="003B1739">
        <w:rPr>
          <w:szCs w:val="22"/>
        </w:rPr>
        <w:t xml:space="preserve">-week consultation period. </w:t>
      </w:r>
    </w:p>
    <w:p w14:paraId="689B7B2C" w14:textId="4163DD77" w:rsidR="005359F5" w:rsidRPr="00624DD2" w:rsidRDefault="005359F5" w:rsidP="00761E9B">
      <w:pPr>
        <w:widowControl/>
        <w:spacing w:before="120" w:after="120"/>
        <w:jc w:val="both"/>
      </w:pPr>
      <w:r>
        <w:t xml:space="preserve">FSANZ received ten submissions and one late submission during the public consultation for A1178. Further consultation was </w:t>
      </w:r>
      <w:r w:rsidR="00F31684">
        <w:t xml:space="preserve">undertaken </w:t>
      </w:r>
      <w:r>
        <w:t xml:space="preserve">after these were reviewed. FSANZ presented a paper to industry stakeholders at the July 2021 </w:t>
      </w:r>
      <w:r w:rsidR="00B509D7">
        <w:t xml:space="preserve">Retailers and Manufacturers Liaison </w:t>
      </w:r>
      <w:r w:rsidR="00B509D7">
        <w:lastRenderedPageBreak/>
        <w:t xml:space="preserve">Committee meeting </w:t>
      </w:r>
      <w:r>
        <w:t xml:space="preserve">and held a targeted consultation with key industry representatives and submitting </w:t>
      </w:r>
      <w:r w:rsidR="00B509D7">
        <w:t xml:space="preserve">jurisdictions </w:t>
      </w:r>
      <w:r>
        <w:t>in August 2021.</w:t>
      </w:r>
    </w:p>
    <w:p w14:paraId="662A67C8" w14:textId="6898A312" w:rsidR="00456BD5" w:rsidRPr="003B1739" w:rsidRDefault="00456BD5" w:rsidP="00761E9B">
      <w:pPr>
        <w:widowControl/>
        <w:autoSpaceDE w:val="0"/>
        <w:autoSpaceDN w:val="0"/>
        <w:adjustRightInd w:val="0"/>
        <w:spacing w:before="120" w:after="120"/>
        <w:jc w:val="both"/>
        <w:rPr>
          <w:rFonts w:eastAsia="Calibri" w:cs="Arial"/>
          <w:b/>
          <w:bCs/>
          <w:szCs w:val="22"/>
          <w:lang w:val="en-AU" w:bidi="ar-SA"/>
        </w:rPr>
      </w:pPr>
      <w:r w:rsidRPr="003B1739">
        <w:t xml:space="preserve">A Standards Development Committee (SDC) was established with representatives from the industry sector, the relevant State and Territory government agencies and consumer organisations to provide ongoing advice to </w:t>
      </w:r>
      <w:r w:rsidRPr="003B1739">
        <w:rPr>
          <w:rFonts w:eastAsia="Calibri" w:cs="Arial"/>
          <w:bCs/>
          <w:szCs w:val="22"/>
          <w:lang w:val="en-AU" w:bidi="ar-SA"/>
        </w:rPr>
        <w:t>the Authority</w:t>
      </w:r>
      <w:r w:rsidRPr="003B1739">
        <w:t xml:space="preserve"> throughout the standard development process. The SDC contributed a broad spectrum of knowledge and expertise covering industry, government, research and consu</w:t>
      </w:r>
      <w:r w:rsidRPr="003B1739">
        <w:rPr>
          <w:szCs w:val="22"/>
        </w:rPr>
        <w:t>mers</w:t>
      </w:r>
    </w:p>
    <w:p w14:paraId="3711262A" w14:textId="1A096574" w:rsidR="00456BD5" w:rsidRPr="005359F5" w:rsidRDefault="00DD72D6" w:rsidP="00761E9B">
      <w:pPr>
        <w:widowControl/>
        <w:autoSpaceDE w:val="0"/>
        <w:autoSpaceDN w:val="0"/>
        <w:adjustRightInd w:val="0"/>
        <w:spacing w:before="120" w:after="120"/>
        <w:jc w:val="both"/>
      </w:pPr>
      <w:r w:rsidRPr="003B1739">
        <w:rPr>
          <w:rFonts w:eastAsia="Calibri" w:cs="Arial"/>
          <w:bCs/>
          <w:szCs w:val="22"/>
        </w:rPr>
        <w:t xml:space="preserve">A Regulation Impact Statement (RIS) was not required because </w:t>
      </w:r>
      <w:r w:rsidRPr="003B1739">
        <w:t xml:space="preserve">the Office of Best Practice Regulation (OBPR) granted the Authority a standing exemption from </w:t>
      </w:r>
      <w:r w:rsidRPr="00140661">
        <w:t xml:space="preserve">the requirement to develop a </w:t>
      </w:r>
      <w:r>
        <w:t>RIS</w:t>
      </w:r>
      <w:r w:rsidRPr="00140661">
        <w:t xml:space="preserve"> for</w:t>
      </w:r>
      <w:r>
        <w:t xml:space="preserve"> applications requesting the use of optional methods of analysis </w:t>
      </w:r>
      <w:r w:rsidRPr="00317735">
        <w:t>(OBPR correspondence dated</w:t>
      </w:r>
      <w:r>
        <w:t xml:space="preserve"> 16 April 2013, reference number 14943). </w:t>
      </w:r>
      <w:r w:rsidRPr="00317735">
        <w:t xml:space="preserve">This standing exemption was provided as permitting the </w:t>
      </w:r>
      <w:r>
        <w:t xml:space="preserve">optional method of </w:t>
      </w:r>
      <w:r w:rsidRPr="00222B4F">
        <w:t xml:space="preserve">analysis is </w:t>
      </w:r>
      <w:r>
        <w:t xml:space="preserve">voluntary and </w:t>
      </w:r>
      <w:r w:rsidRPr="00222B4F">
        <w:t>likely to not have more than a minor economic impact o</w:t>
      </w:r>
      <w:r w:rsidR="005359F5">
        <w:t xml:space="preserve">n businesses or individuals. </w:t>
      </w:r>
    </w:p>
    <w:p w14:paraId="07D41A16" w14:textId="6E90EB7E" w:rsidR="00456BD5" w:rsidRPr="003B1739" w:rsidRDefault="00456BD5" w:rsidP="003B1739">
      <w:pPr>
        <w:widowControl/>
        <w:spacing w:before="120" w:after="120"/>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 xml:space="preserve">Statement of </w:t>
      </w:r>
      <w:r w:rsidR="003B1739">
        <w:rPr>
          <w:rFonts w:eastAsiaTheme="minorHAnsi" w:cs="Arial"/>
          <w:b/>
          <w:bCs/>
          <w:szCs w:val="22"/>
          <w:lang w:val="en-AU" w:bidi="ar-SA"/>
        </w:rPr>
        <w:t>compatibility with human rights</w:t>
      </w:r>
    </w:p>
    <w:p w14:paraId="720FDF70" w14:textId="55C92E53" w:rsidR="00456BD5" w:rsidRDefault="00456BD5" w:rsidP="00761E9B">
      <w:pPr>
        <w:spacing w:before="120" w:after="120"/>
        <w:jc w:val="both"/>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w:t>
      </w:r>
      <w:r w:rsidR="003B1739">
        <w:rPr>
          <w:rFonts w:eastAsiaTheme="minorHAnsi"/>
          <w:lang w:val="en-AU" w:bidi="ar-SA"/>
        </w:rPr>
        <w:t>er section 94 of the FSANZ Act.</w:t>
      </w:r>
    </w:p>
    <w:p w14:paraId="150F4690" w14:textId="1D85D72E" w:rsidR="00456BD5" w:rsidRPr="003B1739" w:rsidRDefault="00456BD5" w:rsidP="003648E6">
      <w:pPr>
        <w:spacing w:before="120" w:after="120"/>
        <w:rPr>
          <w:b/>
          <w:lang w:val="en-AU" w:eastAsia="en-GB" w:bidi="ar-SA"/>
        </w:rPr>
      </w:pPr>
      <w:r w:rsidRPr="00432A42">
        <w:rPr>
          <w:b/>
        </w:rPr>
        <w:t>6.</w:t>
      </w:r>
      <w:r w:rsidRPr="00432A42">
        <w:rPr>
          <w:b/>
        </w:rPr>
        <w:tab/>
      </w:r>
      <w:r>
        <w:rPr>
          <w:b/>
          <w:lang w:val="en-AU" w:eastAsia="en-GB" w:bidi="ar-SA"/>
        </w:rPr>
        <w:t>Variation</w:t>
      </w:r>
    </w:p>
    <w:p w14:paraId="000A53EB" w14:textId="62CF57B7" w:rsidR="00DD72D6" w:rsidRDefault="00DD72D6" w:rsidP="00761E9B">
      <w:pPr>
        <w:pStyle w:val="FSCDraftingitem"/>
        <w:jc w:val="both"/>
        <w:rPr>
          <w:b/>
          <w:sz w:val="22"/>
          <w:lang w:bidi="en-US"/>
        </w:rPr>
      </w:pPr>
      <w:r>
        <w:rPr>
          <w:b/>
          <w:sz w:val="22"/>
          <w:lang w:bidi="en-US"/>
        </w:rPr>
        <w:t xml:space="preserve">Item [1] </w:t>
      </w:r>
      <w:r w:rsidRPr="00B52052">
        <w:rPr>
          <w:sz w:val="22"/>
          <w:lang w:bidi="en-US"/>
        </w:rPr>
        <w:t xml:space="preserve">of the </w:t>
      </w:r>
      <w:r w:rsidR="00653446">
        <w:rPr>
          <w:sz w:val="22"/>
          <w:lang w:bidi="en-US"/>
        </w:rPr>
        <w:t xml:space="preserve">approved </w:t>
      </w:r>
      <w:r w:rsidRPr="00B52052">
        <w:rPr>
          <w:sz w:val="22"/>
          <w:lang w:bidi="en-US"/>
        </w:rPr>
        <w:t xml:space="preserve">draft variation </w:t>
      </w:r>
      <w:r>
        <w:rPr>
          <w:sz w:val="22"/>
          <w:lang w:bidi="en-US"/>
        </w:rPr>
        <w:t>amends</w:t>
      </w:r>
      <w:r w:rsidRPr="00B52052">
        <w:rPr>
          <w:sz w:val="22"/>
          <w:lang w:bidi="en-US"/>
        </w:rPr>
        <w:t xml:space="preserve"> section S11—4 of the Code.</w:t>
      </w:r>
      <w:r>
        <w:rPr>
          <w:b/>
          <w:sz w:val="22"/>
          <w:lang w:bidi="en-US"/>
        </w:rPr>
        <w:t xml:space="preserve"> </w:t>
      </w:r>
    </w:p>
    <w:p w14:paraId="27420C61" w14:textId="77777777" w:rsidR="00DD72D6" w:rsidRPr="00B52052" w:rsidRDefault="00DD72D6" w:rsidP="00761E9B">
      <w:pPr>
        <w:pStyle w:val="FSCDraftingitem"/>
        <w:jc w:val="both"/>
        <w:rPr>
          <w:sz w:val="22"/>
          <w:lang w:bidi="en-US"/>
        </w:rPr>
      </w:pPr>
      <w:r w:rsidRPr="0014495E">
        <w:rPr>
          <w:sz w:val="22"/>
          <w:lang w:bidi="en-US"/>
        </w:rPr>
        <w:t xml:space="preserve">Section S11—4 </w:t>
      </w:r>
      <w:r>
        <w:rPr>
          <w:sz w:val="22"/>
          <w:lang w:bidi="en-US"/>
        </w:rPr>
        <w:t>requires</w:t>
      </w:r>
      <w:r w:rsidRPr="0014495E">
        <w:rPr>
          <w:sz w:val="22"/>
          <w:lang w:bidi="en-US"/>
        </w:rPr>
        <w:t xml:space="preserve"> the </w:t>
      </w:r>
      <w:r>
        <w:rPr>
          <w:sz w:val="22"/>
          <w:lang w:bidi="en-US"/>
        </w:rPr>
        <w:t xml:space="preserve">total </w:t>
      </w:r>
      <w:r w:rsidRPr="0014495E">
        <w:rPr>
          <w:sz w:val="22"/>
          <w:lang w:bidi="en-US"/>
        </w:rPr>
        <w:t xml:space="preserve">dietary fibre </w:t>
      </w:r>
      <w:r>
        <w:rPr>
          <w:sz w:val="22"/>
          <w:lang w:bidi="en-US"/>
        </w:rPr>
        <w:t>(</w:t>
      </w:r>
      <w:r w:rsidRPr="0014495E">
        <w:rPr>
          <w:sz w:val="22"/>
          <w:lang w:bidi="en-US"/>
        </w:rPr>
        <w:t xml:space="preserve">including </w:t>
      </w:r>
      <w:r>
        <w:rPr>
          <w:sz w:val="22"/>
          <w:lang w:bidi="en-US"/>
        </w:rPr>
        <w:t xml:space="preserve">the amount of any </w:t>
      </w:r>
      <w:r w:rsidRPr="0014495E">
        <w:rPr>
          <w:sz w:val="22"/>
          <w:lang w:bidi="en-US"/>
        </w:rPr>
        <w:t>specifically named fibre</w:t>
      </w:r>
      <w:r>
        <w:rPr>
          <w:sz w:val="22"/>
          <w:lang w:bidi="en-US"/>
        </w:rPr>
        <w:t>) in</w:t>
      </w:r>
      <w:r w:rsidRPr="0014495E">
        <w:rPr>
          <w:sz w:val="22"/>
          <w:lang w:bidi="en-US"/>
        </w:rPr>
        <w:t xml:space="preserve"> a food</w:t>
      </w:r>
      <w:r>
        <w:rPr>
          <w:sz w:val="22"/>
          <w:lang w:bidi="en-US"/>
        </w:rPr>
        <w:t xml:space="preserve"> to be determined in accordance with one or more methods contained in specified sections of the </w:t>
      </w:r>
      <w:r w:rsidRPr="00CA79CF">
        <w:rPr>
          <w:i/>
          <w:sz w:val="22"/>
          <w:szCs w:val="22"/>
          <w:lang w:bidi="en-US"/>
        </w:rPr>
        <w:t>Official Methods of Analysis of AOAC International</w:t>
      </w:r>
      <w:r w:rsidRPr="00AF0A97">
        <w:rPr>
          <w:sz w:val="22"/>
          <w:szCs w:val="22"/>
          <w:lang w:bidi="en-US"/>
        </w:rPr>
        <w:t xml:space="preserve">, </w:t>
      </w:r>
      <w:r>
        <w:rPr>
          <w:sz w:val="22"/>
          <w:szCs w:val="22"/>
          <w:lang w:bidi="en-US"/>
        </w:rPr>
        <w:t>eighteenth</w:t>
      </w:r>
      <w:r w:rsidRPr="00AF0A97">
        <w:rPr>
          <w:sz w:val="22"/>
          <w:szCs w:val="22"/>
          <w:lang w:bidi="en-US"/>
        </w:rPr>
        <w:t xml:space="preserve"> edition, 20</w:t>
      </w:r>
      <w:r>
        <w:rPr>
          <w:sz w:val="22"/>
          <w:szCs w:val="22"/>
          <w:lang w:bidi="en-US"/>
        </w:rPr>
        <w:t xml:space="preserve">05 (the previous AOAC), </w:t>
      </w:r>
      <w:r>
        <w:rPr>
          <w:sz w:val="22"/>
          <w:lang w:bidi="en-US"/>
        </w:rPr>
        <w:t xml:space="preserve">for the purposes of </w:t>
      </w:r>
      <w:r w:rsidRPr="0014495E">
        <w:rPr>
          <w:sz w:val="22"/>
          <w:lang w:bidi="en-US"/>
        </w:rPr>
        <w:t>subsection</w:t>
      </w:r>
      <w:r>
        <w:rPr>
          <w:sz w:val="22"/>
          <w:lang w:bidi="en-US"/>
        </w:rPr>
        <w:t>s</w:t>
      </w:r>
      <w:r w:rsidRPr="0014495E">
        <w:rPr>
          <w:sz w:val="22"/>
          <w:lang w:bidi="en-US"/>
        </w:rPr>
        <w:t xml:space="preserve"> 1.2.8—7(7)</w:t>
      </w:r>
      <w:r>
        <w:rPr>
          <w:sz w:val="22"/>
          <w:lang w:bidi="en-US"/>
        </w:rPr>
        <w:t xml:space="preserve"> and </w:t>
      </w:r>
      <w:r w:rsidRPr="00624DD2">
        <w:rPr>
          <w:sz w:val="22"/>
          <w:lang w:bidi="en-US"/>
        </w:rPr>
        <w:t xml:space="preserve">S5—6(2) </w:t>
      </w:r>
      <w:r>
        <w:rPr>
          <w:sz w:val="22"/>
          <w:lang w:bidi="en-US"/>
        </w:rPr>
        <w:t>of the Code</w:t>
      </w:r>
      <w:r w:rsidRPr="0014495E">
        <w:rPr>
          <w:sz w:val="22"/>
          <w:lang w:bidi="en-US"/>
        </w:rPr>
        <w:t>.</w:t>
      </w:r>
    </w:p>
    <w:p w14:paraId="2BE1ACF3" w14:textId="3EA889C8" w:rsidR="00DD72D6" w:rsidRPr="00C130A5" w:rsidRDefault="00DD72D6" w:rsidP="00761E9B">
      <w:pPr>
        <w:pStyle w:val="FSCDraftingitem"/>
        <w:jc w:val="both"/>
        <w:rPr>
          <w:sz w:val="22"/>
          <w:szCs w:val="22"/>
        </w:rPr>
      </w:pPr>
      <w:r>
        <w:rPr>
          <w:b/>
          <w:sz w:val="22"/>
          <w:lang w:bidi="en-US"/>
        </w:rPr>
        <w:t>Sub-i</w:t>
      </w:r>
      <w:r w:rsidRPr="00624DD2">
        <w:rPr>
          <w:b/>
          <w:sz w:val="22"/>
          <w:lang w:bidi="en-US"/>
        </w:rPr>
        <w:t>tem [1</w:t>
      </w:r>
      <w:r>
        <w:rPr>
          <w:b/>
          <w:sz w:val="22"/>
          <w:lang w:bidi="en-US"/>
        </w:rPr>
        <w:t>.1</w:t>
      </w:r>
      <w:r w:rsidRPr="00624DD2">
        <w:rPr>
          <w:b/>
          <w:sz w:val="22"/>
          <w:lang w:bidi="en-US"/>
        </w:rPr>
        <w:t>]</w:t>
      </w:r>
      <w:r w:rsidRPr="00624DD2">
        <w:rPr>
          <w:sz w:val="22"/>
          <w:lang w:bidi="en-US"/>
        </w:rPr>
        <w:t xml:space="preserve"> of the </w:t>
      </w:r>
      <w:r w:rsidR="00653446">
        <w:rPr>
          <w:sz w:val="22"/>
          <w:lang w:bidi="en-US"/>
        </w:rPr>
        <w:t xml:space="preserve">approved </w:t>
      </w:r>
      <w:r w:rsidRPr="00624DD2">
        <w:rPr>
          <w:sz w:val="22"/>
          <w:lang w:bidi="en-US"/>
        </w:rPr>
        <w:t xml:space="preserve">draft variation amends section S11—4 </w:t>
      </w:r>
      <w:r>
        <w:rPr>
          <w:sz w:val="22"/>
          <w:lang w:bidi="en-US"/>
        </w:rPr>
        <w:t xml:space="preserve">of the Code </w:t>
      </w:r>
      <w:r w:rsidRPr="00624DD2">
        <w:rPr>
          <w:sz w:val="22"/>
          <w:lang w:bidi="en-US"/>
        </w:rPr>
        <w:t xml:space="preserve">by </w:t>
      </w:r>
      <w:r w:rsidRPr="00AF0A97">
        <w:rPr>
          <w:sz w:val="22"/>
          <w:lang w:bidi="en-US"/>
        </w:rPr>
        <w:t>omitting paragraph S11—4(2)(a)</w:t>
      </w:r>
      <w:r>
        <w:rPr>
          <w:sz w:val="22"/>
          <w:lang w:bidi="en-US"/>
        </w:rPr>
        <w:t xml:space="preserve"> </w:t>
      </w:r>
      <w:r w:rsidRPr="00AF0A97">
        <w:rPr>
          <w:sz w:val="22"/>
          <w:szCs w:val="22"/>
          <w:lang w:bidi="en-US"/>
        </w:rPr>
        <w:t xml:space="preserve">and </w:t>
      </w:r>
      <w:r>
        <w:rPr>
          <w:sz w:val="22"/>
          <w:szCs w:val="22"/>
        </w:rPr>
        <w:t>substituting</w:t>
      </w:r>
      <w:r w:rsidRPr="00C130A5">
        <w:rPr>
          <w:sz w:val="22"/>
          <w:szCs w:val="22"/>
        </w:rPr>
        <w:t>:</w:t>
      </w:r>
    </w:p>
    <w:p w14:paraId="0BB4A0E0" w14:textId="77777777" w:rsidR="00DD72D6" w:rsidRPr="00624DD2" w:rsidRDefault="00DD72D6" w:rsidP="00761E9B">
      <w:pPr>
        <w:pStyle w:val="FSCtPara"/>
        <w:spacing w:before="120" w:after="120"/>
        <w:ind w:left="3119"/>
        <w:jc w:val="both"/>
        <w:rPr>
          <w:sz w:val="22"/>
        </w:rPr>
      </w:pPr>
      <w:r>
        <w:rPr>
          <w:iCs w:val="0"/>
          <w:sz w:val="22"/>
        </w:rPr>
        <w:t>‘</w:t>
      </w:r>
      <w:r w:rsidRPr="00C130A5">
        <w:rPr>
          <w:iCs w:val="0"/>
          <w:sz w:val="22"/>
        </w:rPr>
        <w:t>(a</w:t>
      </w:r>
      <w:r>
        <w:rPr>
          <w:sz w:val="22"/>
        </w:rPr>
        <w:t>)</w:t>
      </w:r>
      <w:r>
        <w:rPr>
          <w:sz w:val="22"/>
        </w:rPr>
        <w:tab/>
      </w:r>
      <w:r w:rsidRPr="00C130A5">
        <w:rPr>
          <w:sz w:val="22"/>
        </w:rPr>
        <w:t>for dietary fibre—sections 985.29, or 991.43, or 2017.16;</w:t>
      </w:r>
      <w:r>
        <w:rPr>
          <w:sz w:val="22"/>
        </w:rPr>
        <w:t>’</w:t>
      </w:r>
    </w:p>
    <w:p w14:paraId="2B8C6680" w14:textId="77777777" w:rsidR="00DD72D6" w:rsidRDefault="00DD72D6" w:rsidP="00761E9B">
      <w:pPr>
        <w:pStyle w:val="FSCDraftingitem"/>
        <w:jc w:val="both"/>
        <w:rPr>
          <w:sz w:val="22"/>
          <w:lang w:bidi="en-US"/>
        </w:rPr>
      </w:pPr>
      <w:r w:rsidRPr="00624DD2">
        <w:rPr>
          <w:sz w:val="22"/>
          <w:szCs w:val="22"/>
          <w:lang w:bidi="en-US"/>
        </w:rPr>
        <w:t xml:space="preserve">Section </w:t>
      </w:r>
      <w:r>
        <w:rPr>
          <w:sz w:val="22"/>
          <w:lang w:bidi="en-US"/>
        </w:rPr>
        <w:t>2017.16 is a section of</w:t>
      </w:r>
      <w:r w:rsidRPr="00624DD2">
        <w:rPr>
          <w:sz w:val="22"/>
          <w:lang w:bidi="en-US"/>
        </w:rPr>
        <w:t xml:space="preserve"> </w:t>
      </w:r>
      <w:r>
        <w:rPr>
          <w:sz w:val="22"/>
          <w:lang w:bidi="en-US"/>
        </w:rPr>
        <w:t xml:space="preserve">the </w:t>
      </w:r>
      <w:r w:rsidRPr="000815A3">
        <w:rPr>
          <w:i/>
          <w:sz w:val="22"/>
          <w:szCs w:val="22"/>
          <w:lang w:bidi="en-US"/>
        </w:rPr>
        <w:t xml:space="preserve">Official Methods of Analysis of AOAC International, </w:t>
      </w:r>
      <w:r w:rsidRPr="001D6108">
        <w:rPr>
          <w:sz w:val="22"/>
          <w:szCs w:val="22"/>
          <w:lang w:bidi="en-US"/>
        </w:rPr>
        <w:t>twenty first edition</w:t>
      </w:r>
      <w:r>
        <w:rPr>
          <w:sz w:val="22"/>
          <w:szCs w:val="22"/>
          <w:lang w:bidi="en-US"/>
        </w:rPr>
        <w:t>,</w:t>
      </w:r>
      <w:r>
        <w:rPr>
          <w:i/>
          <w:sz w:val="22"/>
          <w:szCs w:val="22"/>
          <w:lang w:bidi="en-US"/>
        </w:rPr>
        <w:t xml:space="preserve"> </w:t>
      </w:r>
      <w:r>
        <w:rPr>
          <w:sz w:val="22"/>
          <w:szCs w:val="22"/>
          <w:lang w:bidi="en-US"/>
        </w:rPr>
        <w:t xml:space="preserve">which </w:t>
      </w:r>
      <w:r w:rsidRPr="00624DD2">
        <w:rPr>
          <w:sz w:val="22"/>
          <w:lang w:bidi="en-US"/>
        </w:rPr>
        <w:t xml:space="preserve">describes </w:t>
      </w:r>
      <w:r>
        <w:rPr>
          <w:sz w:val="22"/>
          <w:lang w:bidi="en-US"/>
        </w:rPr>
        <w:t>this particular AOAC method of analysis for determining total dietary fibre in foods and food ingredients—AOAC 2017.16.</w:t>
      </w:r>
    </w:p>
    <w:p w14:paraId="44450E06" w14:textId="77777777" w:rsidR="00DD72D6" w:rsidRDefault="00DD72D6" w:rsidP="00761E9B">
      <w:pPr>
        <w:pStyle w:val="FSCDraftingitem"/>
        <w:jc w:val="both"/>
        <w:rPr>
          <w:b/>
          <w:sz w:val="22"/>
          <w:szCs w:val="22"/>
          <w:lang w:bidi="en-US"/>
        </w:rPr>
      </w:pPr>
      <w:r>
        <w:rPr>
          <w:sz w:val="22"/>
          <w:lang w:bidi="en-US"/>
        </w:rPr>
        <w:t xml:space="preserve">AOAC 2017.16 would be listed in the Code, in addition and as an alternative to the other abovementioned methods of analysis, </w:t>
      </w:r>
      <w:r>
        <w:rPr>
          <w:sz w:val="22"/>
          <w:szCs w:val="22"/>
          <w:lang w:bidi="en-US"/>
        </w:rPr>
        <w:t>which are</w:t>
      </w:r>
      <w:r>
        <w:rPr>
          <w:sz w:val="22"/>
          <w:lang w:bidi="en-US"/>
        </w:rPr>
        <w:t xml:space="preserve"> currently listed in </w:t>
      </w:r>
      <w:r w:rsidRPr="00AF0A97">
        <w:rPr>
          <w:sz w:val="22"/>
          <w:lang w:bidi="en-US"/>
        </w:rPr>
        <w:t>paragraph S11—4(2)(a)</w:t>
      </w:r>
      <w:r>
        <w:rPr>
          <w:sz w:val="22"/>
          <w:lang w:bidi="en-US"/>
        </w:rPr>
        <w:t xml:space="preserve"> as permitted methods of analysis for determining total dietary fibre in food.</w:t>
      </w:r>
    </w:p>
    <w:p w14:paraId="2837C7A2" w14:textId="5AEB1B73" w:rsidR="00DD72D6" w:rsidRPr="00AF0A97" w:rsidRDefault="00DD72D6" w:rsidP="00761E9B">
      <w:pPr>
        <w:pStyle w:val="FSCDraftingitem"/>
        <w:jc w:val="both"/>
        <w:rPr>
          <w:sz w:val="22"/>
          <w:szCs w:val="22"/>
          <w:lang w:bidi="en-US"/>
        </w:rPr>
      </w:pPr>
      <w:r>
        <w:rPr>
          <w:b/>
          <w:sz w:val="22"/>
          <w:szCs w:val="22"/>
          <w:lang w:bidi="en-US"/>
        </w:rPr>
        <w:t>Sub-i</w:t>
      </w:r>
      <w:r w:rsidRPr="00C130A5">
        <w:rPr>
          <w:b/>
          <w:sz w:val="22"/>
          <w:szCs w:val="22"/>
          <w:lang w:bidi="en-US"/>
        </w:rPr>
        <w:t>tem [</w:t>
      </w:r>
      <w:r>
        <w:rPr>
          <w:b/>
          <w:sz w:val="22"/>
          <w:szCs w:val="22"/>
          <w:lang w:bidi="en-US"/>
        </w:rPr>
        <w:t>1.</w:t>
      </w:r>
      <w:r w:rsidRPr="00C130A5">
        <w:rPr>
          <w:b/>
          <w:sz w:val="22"/>
          <w:szCs w:val="22"/>
          <w:lang w:bidi="en-US"/>
        </w:rPr>
        <w:t>2]</w:t>
      </w:r>
      <w:r>
        <w:rPr>
          <w:sz w:val="22"/>
          <w:szCs w:val="22"/>
          <w:lang w:bidi="en-US"/>
        </w:rPr>
        <w:t xml:space="preserve"> of the </w:t>
      </w:r>
      <w:r w:rsidR="00653446">
        <w:rPr>
          <w:sz w:val="22"/>
          <w:szCs w:val="22"/>
          <w:lang w:bidi="en-US"/>
        </w:rPr>
        <w:t xml:space="preserve">approved </w:t>
      </w:r>
      <w:r>
        <w:rPr>
          <w:sz w:val="22"/>
          <w:szCs w:val="22"/>
          <w:lang w:bidi="en-US"/>
        </w:rPr>
        <w:t xml:space="preserve">draft variation amends </w:t>
      </w:r>
      <w:r w:rsidRPr="00624DD2">
        <w:rPr>
          <w:sz w:val="22"/>
          <w:lang w:bidi="en-US"/>
        </w:rPr>
        <w:t xml:space="preserve">section S11—4 </w:t>
      </w:r>
      <w:r>
        <w:rPr>
          <w:sz w:val="22"/>
          <w:lang w:bidi="en-US"/>
        </w:rPr>
        <w:t xml:space="preserve">Code </w:t>
      </w:r>
      <w:r w:rsidRPr="00624DD2">
        <w:rPr>
          <w:sz w:val="22"/>
          <w:lang w:bidi="en-US"/>
        </w:rPr>
        <w:t xml:space="preserve">by </w:t>
      </w:r>
      <w:r w:rsidRPr="00AF0A97">
        <w:rPr>
          <w:sz w:val="22"/>
          <w:szCs w:val="22"/>
          <w:lang w:bidi="en-US"/>
        </w:rPr>
        <w:t xml:space="preserve">omitting subsection S11—4(4) </w:t>
      </w:r>
      <w:r>
        <w:rPr>
          <w:sz w:val="22"/>
          <w:szCs w:val="22"/>
          <w:lang w:bidi="en-US"/>
        </w:rPr>
        <w:t xml:space="preserve">and </w:t>
      </w:r>
      <w:r w:rsidRPr="00AF0A97">
        <w:rPr>
          <w:sz w:val="22"/>
          <w:szCs w:val="22"/>
          <w:lang w:bidi="en-US"/>
        </w:rPr>
        <w:t>substituting</w:t>
      </w:r>
      <w:r>
        <w:rPr>
          <w:sz w:val="22"/>
          <w:szCs w:val="22"/>
          <w:lang w:bidi="en-US"/>
        </w:rPr>
        <w:t xml:space="preserve"> it with a new subsection </w:t>
      </w:r>
      <w:r w:rsidRPr="00AF0A97">
        <w:rPr>
          <w:sz w:val="22"/>
          <w:szCs w:val="22"/>
          <w:lang w:bidi="en-US"/>
        </w:rPr>
        <w:t>S11—4(4)</w:t>
      </w:r>
      <w:r>
        <w:rPr>
          <w:sz w:val="22"/>
          <w:szCs w:val="22"/>
          <w:lang w:bidi="en-US"/>
        </w:rPr>
        <w:t>, stating that in section S11—4:</w:t>
      </w:r>
    </w:p>
    <w:p w14:paraId="7EF26851" w14:textId="77777777" w:rsidR="00DD72D6" w:rsidRPr="00007DDF" w:rsidRDefault="00DD72D6" w:rsidP="00761E9B">
      <w:pPr>
        <w:pStyle w:val="FSCDraftingitem"/>
        <w:ind w:left="851"/>
        <w:jc w:val="both"/>
        <w:rPr>
          <w:sz w:val="22"/>
          <w:szCs w:val="22"/>
          <w:lang w:bidi="en-US"/>
        </w:rPr>
      </w:pPr>
      <w:r w:rsidRPr="00007DDF">
        <w:rPr>
          <w:sz w:val="22"/>
          <w:szCs w:val="22"/>
          <w:lang w:bidi="en-US"/>
        </w:rPr>
        <w:t>‘</w:t>
      </w:r>
      <w:r w:rsidRPr="00007DDF">
        <w:rPr>
          <w:b/>
          <w:i/>
          <w:sz w:val="22"/>
          <w:szCs w:val="22"/>
          <w:lang w:bidi="en-US"/>
        </w:rPr>
        <w:t>AOAC</w:t>
      </w:r>
      <w:r w:rsidRPr="00007DDF">
        <w:rPr>
          <w:sz w:val="22"/>
          <w:szCs w:val="22"/>
          <w:lang w:bidi="en-US"/>
        </w:rPr>
        <w:t xml:space="preserve"> means the </w:t>
      </w:r>
      <w:r w:rsidRPr="00007DDF">
        <w:rPr>
          <w:i/>
          <w:sz w:val="22"/>
          <w:szCs w:val="22"/>
          <w:lang w:bidi="en-US"/>
        </w:rPr>
        <w:t>Official Methods of Analysis of AOAC International</w:t>
      </w:r>
      <w:r w:rsidRPr="00007DDF">
        <w:rPr>
          <w:sz w:val="22"/>
          <w:szCs w:val="22"/>
          <w:lang w:bidi="en-US"/>
        </w:rPr>
        <w:t xml:space="preserve">, twenty first edition, 2019, published by AOAC International, Maryland USA.’ </w:t>
      </w:r>
    </w:p>
    <w:p w14:paraId="3498DCCB" w14:textId="77777777" w:rsidR="00DD72D6" w:rsidRPr="00007DDF" w:rsidRDefault="00DD72D6" w:rsidP="00761E9B">
      <w:pPr>
        <w:pStyle w:val="FSCDraftingitem"/>
        <w:jc w:val="both"/>
        <w:rPr>
          <w:sz w:val="22"/>
          <w:szCs w:val="22"/>
          <w:lang w:bidi="en-US"/>
        </w:rPr>
      </w:pPr>
      <w:r w:rsidRPr="00007DDF">
        <w:rPr>
          <w:sz w:val="22"/>
          <w:szCs w:val="22"/>
          <w:lang w:bidi="en-US"/>
        </w:rPr>
        <w:t xml:space="preserve">Subsection S11—4(4) currently refers to the previous AOAC, which does not list AOAC </w:t>
      </w:r>
      <w:r w:rsidRPr="00007DDF">
        <w:rPr>
          <w:sz w:val="22"/>
          <w:lang w:bidi="en-US"/>
        </w:rPr>
        <w:t>2017.16</w:t>
      </w:r>
      <w:r w:rsidRPr="00007DDF">
        <w:rPr>
          <w:sz w:val="22"/>
          <w:szCs w:val="22"/>
          <w:lang w:bidi="en-US"/>
        </w:rPr>
        <w:t>.</w:t>
      </w:r>
    </w:p>
    <w:p w14:paraId="675B2AD7" w14:textId="77777777" w:rsidR="00DD72D6" w:rsidRPr="00007DDF" w:rsidRDefault="00DD72D6" w:rsidP="00761E9B">
      <w:pPr>
        <w:pStyle w:val="FSCDraftingitem"/>
        <w:jc w:val="both"/>
        <w:rPr>
          <w:sz w:val="22"/>
          <w:lang w:bidi="en-US"/>
        </w:rPr>
      </w:pPr>
      <w:r w:rsidRPr="00007DDF">
        <w:rPr>
          <w:sz w:val="22"/>
          <w:lang w:bidi="en-US"/>
        </w:rPr>
        <w:t xml:space="preserve">In the </w:t>
      </w:r>
      <w:r w:rsidRPr="00007DDF">
        <w:rPr>
          <w:i/>
          <w:sz w:val="22"/>
          <w:szCs w:val="22"/>
          <w:lang w:bidi="en-US"/>
        </w:rPr>
        <w:t xml:space="preserve">Official Methods of Analysis of AOAC International, </w:t>
      </w:r>
      <w:r w:rsidRPr="00007DDF">
        <w:rPr>
          <w:sz w:val="22"/>
          <w:szCs w:val="22"/>
          <w:lang w:bidi="en-US"/>
        </w:rPr>
        <w:t>twenty first edition, 2019</w:t>
      </w:r>
      <w:r w:rsidRPr="00007DDF">
        <w:rPr>
          <w:i/>
          <w:sz w:val="22"/>
          <w:szCs w:val="22"/>
          <w:lang w:bidi="en-US"/>
        </w:rPr>
        <w:t xml:space="preserve"> </w:t>
      </w:r>
      <w:r w:rsidRPr="00007DDF">
        <w:rPr>
          <w:sz w:val="22"/>
          <w:szCs w:val="22"/>
          <w:lang w:bidi="en-US"/>
        </w:rPr>
        <w:t>(the current print version of the AOAC),</w:t>
      </w:r>
      <w:r w:rsidRPr="00007DDF">
        <w:rPr>
          <w:sz w:val="22"/>
          <w:lang w:bidi="en-US"/>
        </w:rPr>
        <w:t xml:space="preserve"> AOAC 2017.16 is listed as only having a ‘First Action’ status. However, AOAC 2017.16 was accorded a ‘Final Action’ status in 2020, which is reflected in the online version of the </w:t>
      </w:r>
      <w:r w:rsidRPr="00007DDF">
        <w:rPr>
          <w:i/>
          <w:sz w:val="22"/>
          <w:szCs w:val="22"/>
          <w:lang w:bidi="en-US"/>
        </w:rPr>
        <w:t xml:space="preserve">Official Methods of Analysis of AOAC International, </w:t>
      </w:r>
      <w:r w:rsidRPr="00007DDF">
        <w:rPr>
          <w:sz w:val="22"/>
          <w:szCs w:val="22"/>
          <w:lang w:bidi="en-US"/>
        </w:rPr>
        <w:t>twenty first edition.</w:t>
      </w:r>
      <w:r w:rsidRPr="00007DDF">
        <w:t xml:space="preserve"> </w:t>
      </w:r>
      <w:r w:rsidRPr="00007DDF">
        <w:rPr>
          <w:sz w:val="22"/>
          <w:szCs w:val="22"/>
          <w:lang w:bidi="en-US"/>
        </w:rPr>
        <w:t>FSANZ understands that future revision of the current print version of the AOAC will reflect the AOAC 2017.16’s ‘Final Action’ status.</w:t>
      </w:r>
    </w:p>
    <w:p w14:paraId="7832FF7C" w14:textId="13874304" w:rsidR="00DD72D6" w:rsidRPr="00007DDF" w:rsidRDefault="00DD72D6" w:rsidP="00761E9B">
      <w:pPr>
        <w:pStyle w:val="FSCDraftingitem"/>
        <w:jc w:val="both"/>
        <w:rPr>
          <w:sz w:val="22"/>
          <w:lang w:bidi="en-US"/>
        </w:rPr>
      </w:pPr>
      <w:r w:rsidRPr="00007DDF">
        <w:rPr>
          <w:sz w:val="22"/>
          <w:lang w:bidi="en-US"/>
        </w:rPr>
        <w:t xml:space="preserve">The effects </w:t>
      </w:r>
      <w:r w:rsidR="003B1739">
        <w:rPr>
          <w:sz w:val="22"/>
          <w:lang w:bidi="en-US"/>
        </w:rPr>
        <w:t>of both amendments would be to:</w:t>
      </w:r>
    </w:p>
    <w:p w14:paraId="57803148" w14:textId="77777777" w:rsidR="00DD72D6" w:rsidRPr="00007DDF" w:rsidRDefault="00DD72D6" w:rsidP="00D40130">
      <w:pPr>
        <w:pStyle w:val="FSCDraftingitem"/>
        <w:numPr>
          <w:ilvl w:val="0"/>
          <w:numId w:val="13"/>
        </w:numPr>
        <w:jc w:val="both"/>
        <w:rPr>
          <w:sz w:val="22"/>
          <w:lang w:bidi="en-US"/>
        </w:rPr>
      </w:pPr>
      <w:r w:rsidRPr="00007DDF">
        <w:rPr>
          <w:sz w:val="22"/>
          <w:lang w:bidi="en-US"/>
        </w:rPr>
        <w:lastRenderedPageBreak/>
        <w:t>for the purposes of subsections 1.2.8—7(7) and S5—6(2)—permit the use of the AOAC 2017.16 when determining the total amount of dietary fibre in food under section S11—4; and</w:t>
      </w:r>
    </w:p>
    <w:p w14:paraId="346ADACD" w14:textId="0C35B906" w:rsidR="0012388D" w:rsidRPr="00EE2C64" w:rsidRDefault="00DD72D6" w:rsidP="00D40130">
      <w:pPr>
        <w:pStyle w:val="FSCDraftingitem"/>
        <w:numPr>
          <w:ilvl w:val="0"/>
          <w:numId w:val="13"/>
        </w:numPr>
        <w:jc w:val="both"/>
        <w:rPr>
          <w:sz w:val="22"/>
          <w:lang w:bidi="en-US"/>
        </w:rPr>
      </w:pPr>
      <w:r w:rsidRPr="00007DDF">
        <w:rPr>
          <w:sz w:val="22"/>
          <w:lang w:bidi="en-US"/>
        </w:rPr>
        <w:t xml:space="preserve">replace the current references in section S11—4 to the </w:t>
      </w:r>
      <w:r w:rsidRPr="00007DDF">
        <w:rPr>
          <w:sz w:val="22"/>
          <w:szCs w:val="22"/>
          <w:lang w:bidi="en-US"/>
        </w:rPr>
        <w:t>eighteenth edition</w:t>
      </w:r>
      <w:r w:rsidRPr="00007DDF" w:rsidDel="00981CAC">
        <w:rPr>
          <w:sz w:val="22"/>
          <w:lang w:bidi="en-US"/>
        </w:rPr>
        <w:t xml:space="preserve"> </w:t>
      </w:r>
      <w:r w:rsidRPr="00007DDF">
        <w:rPr>
          <w:sz w:val="22"/>
          <w:lang w:bidi="en-US"/>
        </w:rPr>
        <w:t xml:space="preserve">of the AOAC with references to </w:t>
      </w:r>
      <w:r w:rsidRPr="00007DDF">
        <w:rPr>
          <w:sz w:val="22"/>
          <w:szCs w:val="22"/>
          <w:lang w:bidi="en-US"/>
        </w:rPr>
        <w:t>the twenty first edition</w:t>
      </w:r>
      <w:r w:rsidRPr="00007DDF" w:rsidDel="00981CAC">
        <w:rPr>
          <w:sz w:val="22"/>
          <w:szCs w:val="22"/>
          <w:lang w:bidi="en-US"/>
        </w:rPr>
        <w:t xml:space="preserve"> </w:t>
      </w:r>
      <w:r w:rsidRPr="00007DDF">
        <w:rPr>
          <w:sz w:val="22"/>
          <w:szCs w:val="22"/>
          <w:lang w:bidi="en-US"/>
        </w:rPr>
        <w:t xml:space="preserve">of the AOAC, so that references </w:t>
      </w:r>
      <w:r w:rsidRPr="00007DDF">
        <w:rPr>
          <w:sz w:val="22"/>
          <w:lang w:bidi="en-US"/>
        </w:rPr>
        <w:t xml:space="preserve">in section S11—4 </w:t>
      </w:r>
      <w:r w:rsidRPr="00007DDF">
        <w:rPr>
          <w:sz w:val="22"/>
          <w:szCs w:val="22"/>
          <w:lang w:bidi="en-US"/>
        </w:rPr>
        <w:t>to methods of analysis contained in specified sections of the AOAC would be references to methods of analysis contained in specified sections of the twenty first edition of the AOAC</w:t>
      </w:r>
      <w:r w:rsidRPr="00007DDF">
        <w:rPr>
          <w:sz w:val="22"/>
          <w:lang w:bidi="en-US"/>
        </w:rPr>
        <w:t>.</w:t>
      </w:r>
      <w:bookmarkEnd w:id="166"/>
      <w:bookmarkEnd w:id="167"/>
    </w:p>
    <w:sectPr w:rsidR="0012388D" w:rsidRPr="00EE2C64" w:rsidSect="00227EB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A96C8" w14:textId="77777777" w:rsidR="00C62830" w:rsidRDefault="00C62830">
      <w:r>
        <w:separator/>
      </w:r>
    </w:p>
    <w:p w14:paraId="32A735F9" w14:textId="77777777" w:rsidR="00C62830" w:rsidRDefault="00C62830"/>
  </w:endnote>
  <w:endnote w:type="continuationSeparator" w:id="0">
    <w:p w14:paraId="2E03164C" w14:textId="77777777" w:rsidR="00C62830" w:rsidRDefault="00C62830">
      <w:r>
        <w:continuationSeparator/>
      </w:r>
    </w:p>
    <w:p w14:paraId="477B1E4D" w14:textId="77777777" w:rsidR="00C62830" w:rsidRDefault="00C62830"/>
  </w:endnote>
  <w:endnote w:type="continuationNotice" w:id="1">
    <w:p w14:paraId="794839B2" w14:textId="77777777" w:rsidR="00C62830" w:rsidRDefault="00C62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1E9C56C2" w:rsidR="00DB79E6" w:rsidRDefault="00DB79E6" w:rsidP="002E7EB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DB79E6" w:rsidRDefault="00DB79E6" w:rsidP="00B3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587AB065" w:rsidR="00DB79E6" w:rsidRDefault="00DB79E6"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316B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316B9">
          <w:rPr>
            <w:b/>
            <w:bCs/>
            <w:noProof/>
          </w:rPr>
          <w:t>34</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7A07" w14:textId="6E9649E2" w:rsidR="00DB79E6" w:rsidRDefault="00DB79E6" w:rsidP="002E7EB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A323203" w14:textId="77777777" w:rsidR="00DB79E6" w:rsidRDefault="00DB79E6" w:rsidP="00B3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AC78" w14:textId="77777777" w:rsidR="00C62830" w:rsidRDefault="00C62830">
      <w:r>
        <w:separator/>
      </w:r>
    </w:p>
  </w:footnote>
  <w:footnote w:type="continuationSeparator" w:id="0">
    <w:p w14:paraId="05FBD8B9" w14:textId="77777777" w:rsidR="00C62830" w:rsidRDefault="00C62830">
      <w:r>
        <w:continuationSeparator/>
      </w:r>
    </w:p>
  </w:footnote>
  <w:footnote w:type="continuationNotice" w:id="1">
    <w:p w14:paraId="42B997BF" w14:textId="77777777" w:rsidR="00C62830" w:rsidRDefault="00C62830"/>
  </w:footnote>
  <w:footnote w:id="2">
    <w:p w14:paraId="5E2CE094" w14:textId="002C0471" w:rsidR="00DB79E6" w:rsidRPr="00A85C60" w:rsidRDefault="00DB79E6">
      <w:pPr>
        <w:pStyle w:val="FootnoteText"/>
        <w:rPr>
          <w:lang w:val="en-AU"/>
        </w:rPr>
      </w:pPr>
      <w:r>
        <w:rPr>
          <w:rStyle w:val="FootnoteReference"/>
        </w:rPr>
        <w:footnoteRef/>
      </w:r>
      <w:r>
        <w:t xml:space="preserve"> </w:t>
      </w:r>
      <w:r w:rsidRPr="00B6497A">
        <w:rPr>
          <w:sz w:val="16"/>
          <w:szCs w:val="16"/>
        </w:rPr>
        <w:t>Formerly the Australia and New Zealand Ministerial Forum on Food Regulation.</w:t>
      </w:r>
    </w:p>
  </w:footnote>
  <w:footnote w:id="3">
    <w:p w14:paraId="0BEC6C64" w14:textId="77777777" w:rsidR="00DB79E6" w:rsidRPr="003479C5" w:rsidRDefault="00DB79E6" w:rsidP="006E22F9">
      <w:pPr>
        <w:pStyle w:val="FootnoteText"/>
        <w:rPr>
          <w:rFonts w:cs="Arial"/>
          <w:lang w:val="en-AU"/>
        </w:rPr>
      </w:pPr>
      <w:r w:rsidRPr="003479C5">
        <w:rPr>
          <w:rStyle w:val="FootnoteReference"/>
          <w:rFonts w:cs="Arial"/>
        </w:rPr>
        <w:footnoteRef/>
      </w:r>
      <w:r w:rsidRPr="003479C5">
        <w:rPr>
          <w:rFonts w:cs="Arial"/>
        </w:rPr>
        <w:t xml:space="preserve"> </w:t>
      </w:r>
      <w:r w:rsidRPr="003479C5">
        <w:rPr>
          <w:rFonts w:cs="Arial"/>
          <w:sz w:val="16"/>
        </w:rPr>
        <w:t>All references in this report to ‘dietary fibre’, which are made in relation to requirements in the Code, are references to ‘dietary fibre’ as defined by the Code (unless specified otherwise). ‘Total dietary fibre’ refers to the value measured by one or more specified method of analysis, values may be higher or lower depending on method used.</w:t>
      </w:r>
    </w:p>
  </w:footnote>
  <w:footnote w:id="4">
    <w:p w14:paraId="7C6E9E76" w14:textId="44889B71" w:rsidR="00DB79E6" w:rsidRPr="009D7302" w:rsidRDefault="00DB79E6">
      <w:pPr>
        <w:pStyle w:val="FootnoteText"/>
        <w:rPr>
          <w:lang w:val="en-AU"/>
        </w:rPr>
      </w:pPr>
      <w:r>
        <w:rPr>
          <w:rStyle w:val="FootnoteReference"/>
        </w:rPr>
        <w:footnoteRef/>
      </w:r>
      <w:r w:rsidRPr="00EE2F01">
        <w:rPr>
          <w:sz w:val="16"/>
        </w:rPr>
        <w:t xml:space="preserve"> </w:t>
      </w:r>
      <w:hyperlink r:id="rId1" w:history="1">
        <w:r w:rsidRPr="00115BFA">
          <w:rPr>
            <w:rStyle w:val="Hyperlink"/>
            <w:sz w:val="16"/>
            <w:szCs w:val="16"/>
          </w:rPr>
          <w:t>http://www.fao.org/fao-who-codexalimentarius/sh-proxy/en/?lnk=1&amp;url=https%253A%252F%252Fworkspace.fao.org%252Fsites%252Fcodex%252FMeetings%252FCX-715-41%252FFinal%252520Report%252FREP21_MASe.pdf</w:t>
        </w:r>
      </w:hyperlink>
      <w:r>
        <w:rPr>
          <w:sz w:val="16"/>
        </w:rPr>
        <w:t xml:space="preserve"> </w:t>
      </w:r>
    </w:p>
  </w:footnote>
  <w:footnote w:id="5">
    <w:p w14:paraId="698BCBF5" w14:textId="77777777" w:rsidR="00DB79E6" w:rsidRDefault="00DB79E6" w:rsidP="00326CE0">
      <w:pPr>
        <w:pStyle w:val="FootnoteText"/>
      </w:pPr>
      <w:r>
        <w:rPr>
          <w:rStyle w:val="FootnoteReference"/>
        </w:rPr>
        <w:footnoteRef/>
      </w:r>
      <w:r>
        <w:t xml:space="preserve"> </w:t>
      </w:r>
      <w:r w:rsidRPr="002C0E5D">
        <w:rPr>
          <w:sz w:val="16"/>
        </w:rPr>
        <w:t>All references in this report to ‘dietary fibre’, which are made in relation to requirements in the Code, are references to ‘dietary fibre’ as defined by the Code (unless specified otherwise). ‘Total dietary fibre’ refers to the value measured by one or more specified method of analysis, values may be higher or lower depending on method used.</w:t>
      </w:r>
    </w:p>
  </w:footnote>
  <w:footnote w:id="6">
    <w:p w14:paraId="7921DADB" w14:textId="0F37D8BD" w:rsidR="00DB79E6" w:rsidRPr="001B0E22" w:rsidRDefault="00DB79E6">
      <w:pPr>
        <w:pStyle w:val="FootnoteText"/>
        <w:rPr>
          <w:lang w:val="en-AU"/>
        </w:rPr>
      </w:pPr>
      <w:r w:rsidRPr="001B0E22">
        <w:rPr>
          <w:rStyle w:val="FootnoteReference"/>
          <w:sz w:val="16"/>
        </w:rPr>
        <w:footnoteRef/>
      </w:r>
      <w:r w:rsidRPr="001B0E22">
        <w:rPr>
          <w:sz w:val="16"/>
        </w:rPr>
        <w:t xml:space="preserve"> </w:t>
      </w:r>
      <w:r w:rsidRPr="001B0E22">
        <w:rPr>
          <w:sz w:val="16"/>
          <w:lang w:val="en-AU"/>
        </w:rPr>
        <w:t>Cost are for permitted method AOAC 985.29 and AOAC 2017.16, respectively.</w:t>
      </w:r>
    </w:p>
  </w:footnote>
  <w:footnote w:id="7">
    <w:p w14:paraId="01C1CC69" w14:textId="77777777" w:rsidR="00DB79E6" w:rsidRPr="009F1342" w:rsidRDefault="00DB79E6" w:rsidP="00EF3B92">
      <w:pPr>
        <w:pStyle w:val="FootnoteText"/>
      </w:pPr>
      <w:r w:rsidRPr="0041588A">
        <w:rPr>
          <w:rStyle w:val="FootnoteReference"/>
          <w:sz w:val="18"/>
        </w:rPr>
        <w:footnoteRef/>
      </w:r>
      <w:r w:rsidRPr="0041588A">
        <w:rPr>
          <w:sz w:val="18"/>
        </w:rPr>
        <w:t xml:space="preserve"> </w:t>
      </w:r>
      <w:r w:rsidRPr="0041588A">
        <w:rPr>
          <w:sz w:val="16"/>
        </w:rPr>
        <w:t xml:space="preserve">The Code refers to ‘dietary fibre’ as </w:t>
      </w:r>
      <w:r>
        <w:rPr>
          <w:sz w:val="16"/>
        </w:rPr>
        <w:t>total</w:t>
      </w:r>
      <w:r w:rsidRPr="0041588A">
        <w:rPr>
          <w:sz w:val="16"/>
        </w:rPr>
        <w:t xml:space="preserve"> dietary fibre and ‘specifically named dietary fibre’ for individual fibre components.</w:t>
      </w:r>
    </w:p>
  </w:footnote>
  <w:footnote w:id="8">
    <w:p w14:paraId="15C76E32" w14:textId="0102501A" w:rsidR="00DB79E6" w:rsidRPr="001D3DEA" w:rsidRDefault="00DB79E6" w:rsidP="00326CE0">
      <w:pPr>
        <w:pStyle w:val="FSBullet1"/>
        <w:numPr>
          <w:ilvl w:val="0"/>
          <w:numId w:val="0"/>
        </w:numPr>
        <w:rPr>
          <w:sz w:val="18"/>
          <w:szCs w:val="18"/>
        </w:rPr>
      </w:pPr>
      <w:r w:rsidRPr="001D3DEA">
        <w:rPr>
          <w:rStyle w:val="FootnoteReference"/>
          <w:sz w:val="18"/>
          <w:szCs w:val="18"/>
        </w:rPr>
        <w:footnoteRef/>
      </w:r>
      <w:r w:rsidRPr="001D3DEA">
        <w:rPr>
          <w:sz w:val="18"/>
          <w:szCs w:val="18"/>
        </w:rPr>
        <w:t xml:space="preserve"> </w:t>
      </w:r>
      <w:r w:rsidRPr="00A85C60">
        <w:rPr>
          <w:sz w:val="16"/>
          <w:szCs w:val="18"/>
        </w:rPr>
        <w:t xml:space="preserve">The permitted methods in section S11–4 are all established as official methods of analysis by </w:t>
      </w:r>
      <w:hyperlink r:id="rId2" w:history="1">
        <w:r w:rsidRPr="00A85C60">
          <w:rPr>
            <w:rStyle w:val="Hyperlink"/>
            <w:sz w:val="16"/>
            <w:szCs w:val="18"/>
            <w:lang w:val="en"/>
          </w:rPr>
          <w:t>The Association of Official Analytical Collaboration (AOAC) International</w:t>
        </w:r>
      </w:hyperlink>
      <w:r w:rsidRPr="00A85C60">
        <w:rPr>
          <w:sz w:val="16"/>
          <w:szCs w:val="18"/>
        </w:rPr>
        <w:t xml:space="preserve">, which is a globally recognised, independent association that develops consensus standards in the area of analytical chemistry. </w:t>
      </w:r>
    </w:p>
  </w:footnote>
  <w:footnote w:id="9">
    <w:p w14:paraId="378BABD9" w14:textId="062285CF" w:rsidR="00DB79E6" w:rsidRPr="009C0348" w:rsidRDefault="00DB79E6">
      <w:pPr>
        <w:pStyle w:val="FootnoteText"/>
        <w:rPr>
          <w:lang w:val="en-AU"/>
        </w:rPr>
      </w:pPr>
      <w:r w:rsidRPr="009C0348">
        <w:rPr>
          <w:rStyle w:val="FootnoteReference"/>
          <w:sz w:val="16"/>
        </w:rPr>
        <w:footnoteRef/>
      </w:r>
      <w:r w:rsidRPr="009C0348">
        <w:rPr>
          <w:sz w:val="16"/>
        </w:rPr>
        <w:t xml:space="preserve"> </w:t>
      </w:r>
      <w:r w:rsidRPr="009C0348">
        <w:rPr>
          <w:sz w:val="16"/>
          <w:lang w:val="en-AU"/>
        </w:rPr>
        <w:t xml:space="preserve">Available the US FDA </w:t>
      </w:r>
      <w:hyperlink r:id="rId3" w:anchor="define_dietary_fiber" w:history="1">
        <w:r w:rsidRPr="009C0348">
          <w:rPr>
            <w:rStyle w:val="Hyperlink"/>
            <w:rFonts w:cs="Helvetica"/>
            <w:sz w:val="16"/>
            <w:lang w:val="en"/>
          </w:rPr>
          <w:t>Questions and Answers on Dietary Fiber</w:t>
        </w:r>
      </w:hyperlink>
      <w:r w:rsidRPr="009C0348">
        <w:rPr>
          <w:rFonts w:cs="Helvetica"/>
          <w:color w:val="333333"/>
          <w:sz w:val="16"/>
          <w:lang w:val="en"/>
        </w:rPr>
        <w:t xml:space="preserve"> (webpage)</w:t>
      </w:r>
    </w:p>
  </w:footnote>
  <w:footnote w:id="10">
    <w:p w14:paraId="188C5458" w14:textId="77777777" w:rsidR="00DB79E6" w:rsidRPr="00694B0A" w:rsidRDefault="00DB79E6" w:rsidP="00C17785">
      <w:pPr>
        <w:pStyle w:val="FootnoteText"/>
        <w:rPr>
          <w:sz w:val="18"/>
        </w:rPr>
      </w:pPr>
      <w:r w:rsidRPr="00694B0A">
        <w:rPr>
          <w:rStyle w:val="FootnoteReference"/>
          <w:sz w:val="18"/>
        </w:rPr>
        <w:footnoteRef/>
      </w:r>
      <w:r w:rsidRPr="00694B0A">
        <w:rPr>
          <w:sz w:val="18"/>
        </w:rPr>
        <w:t xml:space="preserve"> </w:t>
      </w:r>
      <w:r w:rsidRPr="00A85C60">
        <w:rPr>
          <w:sz w:val="16"/>
        </w:rPr>
        <w:t>All references in this report to ‘dietary fibre’, which are made in relation to requirements in the Code, are references to ‘dietary fibre’ as defined by the Code (unless specified otherwise). ‘Total dietary fibre’ refers to the value measured by one or more specified method of analysis, values may be higher or lower depending on method used.</w:t>
      </w:r>
    </w:p>
  </w:footnote>
  <w:footnote w:id="11">
    <w:p w14:paraId="36660FE2" w14:textId="48AFF251" w:rsidR="00DB79E6" w:rsidRPr="00BC39CD" w:rsidRDefault="00DB79E6" w:rsidP="005A4DBE">
      <w:pPr>
        <w:pStyle w:val="FootnoteText"/>
        <w:rPr>
          <w:sz w:val="18"/>
        </w:rPr>
      </w:pPr>
      <w:r w:rsidRPr="00BC39CD">
        <w:rPr>
          <w:rStyle w:val="FootnoteReference"/>
          <w:sz w:val="18"/>
        </w:rPr>
        <w:footnoteRef/>
      </w:r>
      <w:r w:rsidRPr="00BC39CD">
        <w:rPr>
          <w:sz w:val="18"/>
        </w:rPr>
        <w:t xml:space="preserve"> </w:t>
      </w:r>
      <w:r w:rsidRPr="0038130A">
        <w:rPr>
          <w:sz w:val="16"/>
        </w:rPr>
        <w:t xml:space="preserve">H. Salman, Business Manager – Analytical Services, Australian Export Grains Innovation Centre (AEGIC), </w:t>
      </w:r>
      <w:r w:rsidRPr="0038130A">
        <w:rPr>
          <w:rFonts w:cs="Arial"/>
          <w:sz w:val="16"/>
          <w:lang w:eastAsia="en-AU"/>
        </w:rPr>
        <w:t>personal communication, 22 May 2020</w:t>
      </w:r>
      <w:r>
        <w:rPr>
          <w:rFonts w:cs="Arial"/>
          <w:sz w:val="16"/>
          <w:lang w:eastAsia="en-AU"/>
        </w:rPr>
        <w:t>.</w:t>
      </w:r>
    </w:p>
  </w:footnote>
  <w:footnote w:id="12">
    <w:p w14:paraId="047C2660" w14:textId="21FFC99E" w:rsidR="00DB79E6" w:rsidRPr="00B8108C" w:rsidRDefault="00DB79E6" w:rsidP="005A4DBE">
      <w:pPr>
        <w:pStyle w:val="FootnoteText"/>
      </w:pPr>
      <w:r w:rsidRPr="00BC39CD">
        <w:rPr>
          <w:rStyle w:val="FootnoteReference"/>
          <w:sz w:val="18"/>
        </w:rPr>
        <w:footnoteRef/>
      </w:r>
      <w:r w:rsidRPr="00BC39CD">
        <w:rPr>
          <w:sz w:val="18"/>
        </w:rPr>
        <w:t xml:space="preserve"> </w:t>
      </w:r>
      <w:r w:rsidRPr="0038130A">
        <w:rPr>
          <w:sz w:val="16"/>
        </w:rPr>
        <w:t xml:space="preserve">H. Salman, Business Manager – Analytical Services, Australian Export Grains Innovation Centre (AEGIC), </w:t>
      </w:r>
      <w:r w:rsidRPr="0038130A">
        <w:rPr>
          <w:rFonts w:cs="Arial"/>
          <w:sz w:val="16"/>
          <w:lang w:eastAsia="en-AU"/>
        </w:rPr>
        <w:t>personal communication, 16 March 2021</w:t>
      </w:r>
      <w:r>
        <w:rPr>
          <w:rFonts w:cs="Arial"/>
          <w:sz w:val="16"/>
          <w:lang w:eastAsia="en-AU"/>
        </w:rPr>
        <w:t>.</w:t>
      </w:r>
    </w:p>
  </w:footnote>
  <w:footnote w:id="13">
    <w:p w14:paraId="42F4E9DB" w14:textId="0DDAD1A2" w:rsidR="00DB79E6" w:rsidRPr="00003DA4" w:rsidRDefault="00DB79E6" w:rsidP="005C7B26">
      <w:pPr>
        <w:pStyle w:val="FootnoteText"/>
        <w:rPr>
          <w:sz w:val="14"/>
        </w:rPr>
      </w:pPr>
      <w:r w:rsidRPr="001964D1">
        <w:rPr>
          <w:rStyle w:val="FootnoteReference"/>
          <w:sz w:val="14"/>
        </w:rPr>
        <w:footnoteRef/>
      </w:r>
      <w:r w:rsidRPr="001964D1">
        <w:rPr>
          <w:sz w:val="14"/>
        </w:rPr>
        <w:t xml:space="preserve"> </w:t>
      </w:r>
      <w:r w:rsidRPr="001B0E22">
        <w:rPr>
          <w:rFonts w:cs="Arial"/>
          <w:sz w:val="16"/>
          <w:szCs w:val="21"/>
        </w:rPr>
        <w:t>The degree of polymerisation, or DP, is the number of single monosaccharide units in the carbohydrate molecule</w:t>
      </w:r>
      <w:r>
        <w:rPr>
          <w:rFonts w:cs="Arial"/>
          <w:sz w:val="16"/>
          <w:szCs w:val="21"/>
        </w:rPr>
        <w:t>.</w:t>
      </w:r>
    </w:p>
  </w:footnote>
  <w:footnote w:id="14">
    <w:p w14:paraId="48BC5F9C" w14:textId="745F631F" w:rsidR="00DB79E6" w:rsidRPr="001B0E22" w:rsidRDefault="00DB79E6" w:rsidP="005C7B26">
      <w:pPr>
        <w:pStyle w:val="FootnoteText"/>
        <w:rPr>
          <w:sz w:val="16"/>
          <w:szCs w:val="16"/>
        </w:rPr>
      </w:pPr>
      <w:r w:rsidRPr="001964D1">
        <w:rPr>
          <w:rStyle w:val="FootnoteReference"/>
          <w:sz w:val="18"/>
        </w:rPr>
        <w:footnoteRef/>
      </w:r>
      <w:r w:rsidRPr="001964D1">
        <w:rPr>
          <w:sz w:val="18"/>
        </w:rPr>
        <w:t xml:space="preserve"> </w:t>
      </w:r>
      <w:r w:rsidRPr="001B0E22">
        <w:rPr>
          <w:sz w:val="16"/>
          <w:szCs w:val="16"/>
        </w:rPr>
        <w:t xml:space="preserve">See application </w:t>
      </w:r>
      <w:hyperlink r:id="rId4" w:history="1">
        <w:r w:rsidRPr="001B0E22">
          <w:rPr>
            <w:rStyle w:val="Hyperlink"/>
            <w:sz w:val="16"/>
            <w:szCs w:val="16"/>
          </w:rPr>
          <w:t>A1123 – Isomalto-oligosaccharide as a Novel Food</w:t>
        </w:r>
      </w:hyperlink>
      <w:r>
        <w:rPr>
          <w:rStyle w:val="Hyperlink"/>
          <w:sz w:val="16"/>
          <w:szCs w:val="16"/>
        </w:rPr>
        <w:t>.</w:t>
      </w:r>
    </w:p>
  </w:footnote>
  <w:footnote w:id="15">
    <w:p w14:paraId="3B0A0160" w14:textId="09C87290" w:rsidR="00DB79E6" w:rsidRDefault="00DB79E6" w:rsidP="00766EA1">
      <w:pPr>
        <w:pStyle w:val="FootnoteText"/>
      </w:pPr>
      <w:r w:rsidRPr="00D3000D">
        <w:rPr>
          <w:rStyle w:val="FootnoteReference"/>
          <w:sz w:val="18"/>
        </w:rPr>
        <w:footnoteRef/>
      </w:r>
      <w:r w:rsidRPr="00D3000D">
        <w:rPr>
          <w:sz w:val="18"/>
        </w:rPr>
        <w:t xml:space="preserve"> </w:t>
      </w:r>
      <w:r w:rsidRPr="006900F4">
        <w:rPr>
          <w:sz w:val="16"/>
        </w:rPr>
        <w:t>AOAC 2017.16 cannot separately identify values for individual LMWDF, meaning the method cannot be used to determine GOS values alone. There is an AOAC method for determining GOS (AOAC 2002.02), however this is not permitted in the Code and it is for the analysis of trans-GOS</w:t>
      </w:r>
      <w:r>
        <w:rPr>
          <w:sz w:val="16"/>
        </w:rPr>
        <w:t xml:space="preserve"> (synthetic analogues of GOS)</w:t>
      </w:r>
      <w:r w:rsidRPr="006900F4">
        <w:rPr>
          <w:sz w:val="16"/>
        </w:rPr>
        <w:t xml:space="preserve"> only so would not detect naturally occurring GOS.</w:t>
      </w:r>
    </w:p>
  </w:footnote>
  <w:footnote w:id="16">
    <w:p w14:paraId="567D1AAC" w14:textId="1F29F41D" w:rsidR="00DB79E6" w:rsidRPr="00656221" w:rsidRDefault="00DB79E6">
      <w:pPr>
        <w:pStyle w:val="FootnoteText"/>
        <w:rPr>
          <w:lang w:val="en-AU"/>
        </w:rPr>
      </w:pPr>
      <w:r>
        <w:rPr>
          <w:rStyle w:val="FootnoteReference"/>
        </w:rPr>
        <w:footnoteRef/>
      </w:r>
      <w:r>
        <w:t xml:space="preserve"> </w:t>
      </w:r>
      <w:r w:rsidRPr="00EF7C0E">
        <w:rPr>
          <w:sz w:val="16"/>
        </w:rPr>
        <w:t xml:space="preserve">H. Salman, Business Manager – Analytical Services, Australian Export Grains Innovation Centre (AEGIC), </w:t>
      </w:r>
      <w:r w:rsidRPr="00EF7C0E">
        <w:rPr>
          <w:rFonts w:cs="Arial"/>
          <w:sz w:val="16"/>
          <w:lang w:eastAsia="en-AU"/>
        </w:rPr>
        <w:t>personal communication, 15 March 2021</w:t>
      </w:r>
    </w:p>
  </w:footnote>
  <w:footnote w:id="17">
    <w:p w14:paraId="61D01A53" w14:textId="77777777" w:rsidR="00DB79E6" w:rsidRPr="005F2391" w:rsidRDefault="00DB79E6" w:rsidP="00920BAA">
      <w:pPr>
        <w:pStyle w:val="FootnoteText"/>
        <w:rPr>
          <w:sz w:val="18"/>
          <w:lang w:val="en-US"/>
        </w:rPr>
      </w:pPr>
      <w:r>
        <w:rPr>
          <w:rStyle w:val="FootnoteReference"/>
        </w:rPr>
        <w:footnoteRef/>
      </w:r>
      <w:r>
        <w:t xml:space="preserve"> </w:t>
      </w:r>
      <w:r w:rsidRPr="006900F4">
        <w:rPr>
          <w:rFonts w:cs="Arial"/>
          <w:b/>
          <w:i/>
          <w:sz w:val="16"/>
          <w:szCs w:val="19"/>
        </w:rPr>
        <w:t xml:space="preserve">AOAC </w:t>
      </w:r>
      <w:r w:rsidRPr="006900F4">
        <w:rPr>
          <w:rFonts w:cs="Arial"/>
          <w:sz w:val="16"/>
          <w:szCs w:val="19"/>
        </w:rPr>
        <w:t xml:space="preserve">means the </w:t>
      </w:r>
      <w:r w:rsidRPr="006900F4">
        <w:rPr>
          <w:rFonts w:cs="Arial"/>
          <w:i/>
          <w:sz w:val="16"/>
          <w:szCs w:val="19"/>
        </w:rPr>
        <w:t>Official Methods of Analysis of AOAC International</w:t>
      </w:r>
      <w:r w:rsidRPr="00914B04">
        <w:rPr>
          <w:rFonts w:cs="Arial"/>
          <w:sz w:val="16"/>
          <w:szCs w:val="19"/>
        </w:rPr>
        <w:t>, twenty first edition, 2019, published by AOAC International, Maryland USA.</w:t>
      </w:r>
    </w:p>
  </w:footnote>
  <w:footnote w:id="18">
    <w:p w14:paraId="7063B9EB" w14:textId="77777777" w:rsidR="00DB79E6" w:rsidRPr="003B3EE3" w:rsidRDefault="00DB79E6" w:rsidP="009A091F">
      <w:pPr>
        <w:pStyle w:val="FootnoteText"/>
        <w:rPr>
          <w:lang w:val="en-AU"/>
        </w:rPr>
      </w:pPr>
      <w:r>
        <w:rPr>
          <w:rStyle w:val="FootnoteReference"/>
        </w:rPr>
        <w:footnoteRef/>
      </w:r>
      <w:r>
        <w:t xml:space="preserve"> </w:t>
      </w:r>
      <w:r w:rsidRPr="00F953D8">
        <w:rPr>
          <w:rFonts w:eastAsia="Calibri" w:cs="Arial"/>
          <w:bCs/>
          <w:sz w:val="16"/>
          <w:szCs w:val="22"/>
          <w:lang w:val="en-AU" w:bidi="ar-SA"/>
        </w:rPr>
        <w:t xml:space="preserve">Formerly the </w:t>
      </w:r>
      <w:r w:rsidRPr="00F953D8">
        <w:rPr>
          <w:rFonts w:cs="Helvetica"/>
          <w:sz w:val="16"/>
          <w:lang w:val="en-AU"/>
        </w:rPr>
        <w:t xml:space="preserve">Australia and New Zealand Ministerial Forum on Food </w:t>
      </w:r>
      <w:r w:rsidRPr="00F953D8">
        <w:rPr>
          <w:rFonts w:cs="Arial"/>
          <w:sz w:val="16"/>
        </w:rPr>
        <w:t>Regulation</w:t>
      </w:r>
      <w:r>
        <w:rPr>
          <w:rFonts w:cs="Arial"/>
          <w:sz w:val="16"/>
        </w:rPr>
        <w:t xml:space="preserve"> (the Forum)</w:t>
      </w:r>
      <w:r w:rsidRPr="00F953D8">
        <w:rPr>
          <w:sz w:val="16"/>
        </w:rPr>
        <w:t>. The Forum name change took effect on 21 February 2021 following a decision by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6A94FA48" w:rsidR="00DB79E6" w:rsidRDefault="00DB79E6">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4258" w14:textId="47FE89B1" w:rsidR="00DB79E6" w:rsidRDefault="00DB79E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7D5"/>
    <w:multiLevelType w:val="hybridMultilevel"/>
    <w:tmpl w:val="B582EE62"/>
    <w:lvl w:ilvl="0" w:tplc="F6F26816">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57AF1"/>
    <w:multiLevelType w:val="hybridMultilevel"/>
    <w:tmpl w:val="80A23C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D84600"/>
    <w:multiLevelType w:val="hybridMultilevel"/>
    <w:tmpl w:val="6E6CB97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04658"/>
    <w:multiLevelType w:val="hybridMultilevel"/>
    <w:tmpl w:val="9F4CB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21A2F6B"/>
    <w:multiLevelType w:val="hybridMultilevel"/>
    <w:tmpl w:val="D3EC7B72"/>
    <w:lvl w:ilvl="0" w:tplc="2B62B658">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C76A1"/>
    <w:multiLevelType w:val="multilevel"/>
    <w:tmpl w:val="4C40B592"/>
    <w:lvl w:ilvl="0">
      <w:start w:val="1"/>
      <w:numFmt w:val="decimal"/>
      <w:lvlText w:val="%1."/>
      <w:lvlJc w:val="left"/>
      <w:pPr>
        <w:ind w:left="927" w:hanging="360"/>
      </w:pPr>
      <w:rPr>
        <w:rFonts w:ascii="Arial" w:eastAsia="Times New Roman" w:hAnsi="Arial"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D4C306A"/>
    <w:multiLevelType w:val="hybridMultilevel"/>
    <w:tmpl w:val="660EC3AA"/>
    <w:lvl w:ilvl="0" w:tplc="0DEED8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4574B9"/>
    <w:multiLevelType w:val="hybridMultilevel"/>
    <w:tmpl w:val="3F96DFF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955221"/>
    <w:multiLevelType w:val="hybridMultilevel"/>
    <w:tmpl w:val="290E7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64B11"/>
    <w:multiLevelType w:val="hybridMultilevel"/>
    <w:tmpl w:val="0234D7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A12867"/>
    <w:multiLevelType w:val="hybridMultilevel"/>
    <w:tmpl w:val="74FE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85480"/>
    <w:multiLevelType w:val="hybridMultilevel"/>
    <w:tmpl w:val="12D037EA"/>
    <w:lvl w:ilvl="0" w:tplc="FDFEA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64988"/>
    <w:multiLevelType w:val="hybridMultilevel"/>
    <w:tmpl w:val="3F2E11D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7B1A30"/>
    <w:multiLevelType w:val="hybridMultilevel"/>
    <w:tmpl w:val="D298BAC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042C03"/>
    <w:multiLevelType w:val="hybridMultilevel"/>
    <w:tmpl w:val="B6CE9E3E"/>
    <w:lvl w:ilvl="0" w:tplc="C1D0D74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3688E"/>
    <w:multiLevelType w:val="hybridMultilevel"/>
    <w:tmpl w:val="E07C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0587A"/>
    <w:multiLevelType w:val="hybridMultilevel"/>
    <w:tmpl w:val="7DFED99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35577"/>
    <w:multiLevelType w:val="multilevel"/>
    <w:tmpl w:val="12E4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F350F4"/>
    <w:multiLevelType w:val="hybridMultilevel"/>
    <w:tmpl w:val="B4383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4B0239"/>
    <w:multiLevelType w:val="hybridMultilevel"/>
    <w:tmpl w:val="E0D4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025B0"/>
    <w:multiLevelType w:val="hybridMultilevel"/>
    <w:tmpl w:val="8676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6767A8"/>
    <w:multiLevelType w:val="hybridMultilevel"/>
    <w:tmpl w:val="08A61694"/>
    <w:lvl w:ilvl="0" w:tplc="88F6C8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8F5A5C"/>
    <w:multiLevelType w:val="hybridMultilevel"/>
    <w:tmpl w:val="818C75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1"/>
  </w:num>
  <w:num w:numId="2">
    <w:abstractNumId w:val="4"/>
  </w:num>
  <w:num w:numId="3">
    <w:abstractNumId w:val="12"/>
  </w:num>
  <w:num w:numId="4">
    <w:abstractNumId w:val="7"/>
  </w:num>
  <w:num w:numId="5">
    <w:abstractNumId w:val="19"/>
  </w:num>
  <w:num w:numId="6">
    <w:abstractNumId w:val="15"/>
  </w:num>
  <w:num w:numId="7">
    <w:abstractNumId w:val="20"/>
  </w:num>
  <w:num w:numId="8">
    <w:abstractNumId w:val="25"/>
  </w:num>
  <w:num w:numId="9">
    <w:abstractNumId w:val="8"/>
  </w:num>
  <w:num w:numId="10">
    <w:abstractNumId w:val="2"/>
  </w:num>
  <w:num w:numId="11">
    <w:abstractNumId w:val="16"/>
  </w:num>
  <w:num w:numId="12">
    <w:abstractNumId w:val="22"/>
  </w:num>
  <w:num w:numId="13">
    <w:abstractNumId w:val="13"/>
  </w:num>
  <w:num w:numId="14">
    <w:abstractNumId w:val="9"/>
  </w:num>
  <w:num w:numId="15">
    <w:abstractNumId w:val="21"/>
  </w:num>
  <w:num w:numId="16">
    <w:abstractNumId w:val="23"/>
  </w:num>
  <w:num w:numId="17">
    <w:abstractNumId w:val="17"/>
  </w:num>
  <w:num w:numId="18">
    <w:abstractNumId w:val="5"/>
  </w:num>
  <w:num w:numId="19">
    <w:abstractNumId w:val="0"/>
  </w:num>
  <w:num w:numId="20">
    <w:abstractNumId w:val="14"/>
  </w:num>
  <w:num w:numId="21">
    <w:abstractNumId w:val="2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num>
  <w:num w:numId="25">
    <w:abstractNumId w:val="3"/>
  </w:num>
  <w:num w:numId="26">
    <w:abstractNumId w:val="18"/>
  </w:num>
  <w:num w:numId="27">
    <w:abstractNumId w:val="1"/>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D59"/>
    <w:rsid w:val="000010B7"/>
    <w:rsid w:val="0000247B"/>
    <w:rsid w:val="000040A3"/>
    <w:rsid w:val="0000469B"/>
    <w:rsid w:val="0000713E"/>
    <w:rsid w:val="00007FD7"/>
    <w:rsid w:val="00010845"/>
    <w:rsid w:val="00010E79"/>
    <w:rsid w:val="00011187"/>
    <w:rsid w:val="00014D8D"/>
    <w:rsid w:val="00014E34"/>
    <w:rsid w:val="000174C9"/>
    <w:rsid w:val="00017B64"/>
    <w:rsid w:val="000206E9"/>
    <w:rsid w:val="00022566"/>
    <w:rsid w:val="00027D8B"/>
    <w:rsid w:val="000332AE"/>
    <w:rsid w:val="00034545"/>
    <w:rsid w:val="000350C6"/>
    <w:rsid w:val="000356BE"/>
    <w:rsid w:val="00035FF3"/>
    <w:rsid w:val="000418F0"/>
    <w:rsid w:val="000459CE"/>
    <w:rsid w:val="0004610E"/>
    <w:rsid w:val="00051021"/>
    <w:rsid w:val="000524F0"/>
    <w:rsid w:val="00052A02"/>
    <w:rsid w:val="00052D54"/>
    <w:rsid w:val="00053679"/>
    <w:rsid w:val="000576EB"/>
    <w:rsid w:val="000613A2"/>
    <w:rsid w:val="0006386D"/>
    <w:rsid w:val="00064B2D"/>
    <w:rsid w:val="00065F1F"/>
    <w:rsid w:val="000718A6"/>
    <w:rsid w:val="00074DBC"/>
    <w:rsid w:val="00076D33"/>
    <w:rsid w:val="00076D3B"/>
    <w:rsid w:val="00077859"/>
    <w:rsid w:val="00077AEA"/>
    <w:rsid w:val="00080600"/>
    <w:rsid w:val="00081B0A"/>
    <w:rsid w:val="00086F34"/>
    <w:rsid w:val="00090499"/>
    <w:rsid w:val="00090D25"/>
    <w:rsid w:val="00090F27"/>
    <w:rsid w:val="00093846"/>
    <w:rsid w:val="00096AA8"/>
    <w:rsid w:val="000A04F4"/>
    <w:rsid w:val="000A0E8D"/>
    <w:rsid w:val="000A1206"/>
    <w:rsid w:val="000A3D8B"/>
    <w:rsid w:val="000B427A"/>
    <w:rsid w:val="000B4BB1"/>
    <w:rsid w:val="000B5E75"/>
    <w:rsid w:val="000B6AF2"/>
    <w:rsid w:val="000C255B"/>
    <w:rsid w:val="000C467B"/>
    <w:rsid w:val="000D02A2"/>
    <w:rsid w:val="000D0DB4"/>
    <w:rsid w:val="000D0E36"/>
    <w:rsid w:val="000D554F"/>
    <w:rsid w:val="000D5E09"/>
    <w:rsid w:val="000D6FD4"/>
    <w:rsid w:val="000D7B1C"/>
    <w:rsid w:val="000E0AE4"/>
    <w:rsid w:val="000E1EA4"/>
    <w:rsid w:val="000E3DBC"/>
    <w:rsid w:val="000E662F"/>
    <w:rsid w:val="000E6F62"/>
    <w:rsid w:val="000E79AC"/>
    <w:rsid w:val="000F267A"/>
    <w:rsid w:val="000F3CFE"/>
    <w:rsid w:val="000F6568"/>
    <w:rsid w:val="000F6BB0"/>
    <w:rsid w:val="000F7EE0"/>
    <w:rsid w:val="0010195C"/>
    <w:rsid w:val="00102819"/>
    <w:rsid w:val="00104544"/>
    <w:rsid w:val="00106448"/>
    <w:rsid w:val="001073BA"/>
    <w:rsid w:val="0010778D"/>
    <w:rsid w:val="001122EC"/>
    <w:rsid w:val="00113AB6"/>
    <w:rsid w:val="00114098"/>
    <w:rsid w:val="00115BFA"/>
    <w:rsid w:val="00117AB8"/>
    <w:rsid w:val="0012118A"/>
    <w:rsid w:val="00122438"/>
    <w:rsid w:val="0012388D"/>
    <w:rsid w:val="00126D5C"/>
    <w:rsid w:val="00134FCC"/>
    <w:rsid w:val="00136405"/>
    <w:rsid w:val="00136B57"/>
    <w:rsid w:val="00150B54"/>
    <w:rsid w:val="0015187A"/>
    <w:rsid w:val="001600BB"/>
    <w:rsid w:val="00164557"/>
    <w:rsid w:val="0016504A"/>
    <w:rsid w:val="001702EA"/>
    <w:rsid w:val="00170EAD"/>
    <w:rsid w:val="001762BE"/>
    <w:rsid w:val="00182C4C"/>
    <w:rsid w:val="00184407"/>
    <w:rsid w:val="001878C5"/>
    <w:rsid w:val="00190D66"/>
    <w:rsid w:val="0019399D"/>
    <w:rsid w:val="00197D8D"/>
    <w:rsid w:val="001A1A75"/>
    <w:rsid w:val="001A2773"/>
    <w:rsid w:val="001A5012"/>
    <w:rsid w:val="001A592E"/>
    <w:rsid w:val="001A7E9A"/>
    <w:rsid w:val="001B0873"/>
    <w:rsid w:val="001B0E22"/>
    <w:rsid w:val="001B50A0"/>
    <w:rsid w:val="001C27A3"/>
    <w:rsid w:val="001C3C4D"/>
    <w:rsid w:val="001C40C5"/>
    <w:rsid w:val="001C533C"/>
    <w:rsid w:val="001C5EDB"/>
    <w:rsid w:val="001D43F6"/>
    <w:rsid w:val="001D4CFB"/>
    <w:rsid w:val="001E09FA"/>
    <w:rsid w:val="001E550F"/>
    <w:rsid w:val="001E5A55"/>
    <w:rsid w:val="001F1F6B"/>
    <w:rsid w:val="001F7F63"/>
    <w:rsid w:val="00202A6F"/>
    <w:rsid w:val="0020633C"/>
    <w:rsid w:val="00207C74"/>
    <w:rsid w:val="002173E6"/>
    <w:rsid w:val="002174A1"/>
    <w:rsid w:val="0021797F"/>
    <w:rsid w:val="0022197C"/>
    <w:rsid w:val="00221D07"/>
    <w:rsid w:val="00224E3B"/>
    <w:rsid w:val="002265B6"/>
    <w:rsid w:val="002271A6"/>
    <w:rsid w:val="00227E4A"/>
    <w:rsid w:val="00227EB6"/>
    <w:rsid w:val="00233387"/>
    <w:rsid w:val="00236660"/>
    <w:rsid w:val="002418B5"/>
    <w:rsid w:val="002421C1"/>
    <w:rsid w:val="00247AB0"/>
    <w:rsid w:val="00250197"/>
    <w:rsid w:val="002519B1"/>
    <w:rsid w:val="002531ED"/>
    <w:rsid w:val="0026387E"/>
    <w:rsid w:val="00265805"/>
    <w:rsid w:val="0027229F"/>
    <w:rsid w:val="002758A0"/>
    <w:rsid w:val="00277D7F"/>
    <w:rsid w:val="00280E67"/>
    <w:rsid w:val="00290300"/>
    <w:rsid w:val="0029204E"/>
    <w:rsid w:val="00292B9B"/>
    <w:rsid w:val="00294251"/>
    <w:rsid w:val="002A0194"/>
    <w:rsid w:val="002A549A"/>
    <w:rsid w:val="002A5F8B"/>
    <w:rsid w:val="002A7F6C"/>
    <w:rsid w:val="002B0071"/>
    <w:rsid w:val="002B0DA7"/>
    <w:rsid w:val="002B1D57"/>
    <w:rsid w:val="002B60E4"/>
    <w:rsid w:val="002C1A3B"/>
    <w:rsid w:val="002D0C46"/>
    <w:rsid w:val="002D21AC"/>
    <w:rsid w:val="002D2E77"/>
    <w:rsid w:val="002D40FB"/>
    <w:rsid w:val="002E16D5"/>
    <w:rsid w:val="002E1820"/>
    <w:rsid w:val="002E7EBE"/>
    <w:rsid w:val="002F1B3C"/>
    <w:rsid w:val="002F35EA"/>
    <w:rsid w:val="002F6488"/>
    <w:rsid w:val="003005A4"/>
    <w:rsid w:val="003041DB"/>
    <w:rsid w:val="00305C54"/>
    <w:rsid w:val="0031016C"/>
    <w:rsid w:val="003116E6"/>
    <w:rsid w:val="00311C25"/>
    <w:rsid w:val="0031281D"/>
    <w:rsid w:val="00313E0B"/>
    <w:rsid w:val="0031426B"/>
    <w:rsid w:val="00314378"/>
    <w:rsid w:val="00316D12"/>
    <w:rsid w:val="00320415"/>
    <w:rsid w:val="003213F9"/>
    <w:rsid w:val="00323AB6"/>
    <w:rsid w:val="00323DBF"/>
    <w:rsid w:val="003241AA"/>
    <w:rsid w:val="003247F4"/>
    <w:rsid w:val="00326CE0"/>
    <w:rsid w:val="00327867"/>
    <w:rsid w:val="003307EA"/>
    <w:rsid w:val="00330F04"/>
    <w:rsid w:val="00332B12"/>
    <w:rsid w:val="00334655"/>
    <w:rsid w:val="0033772B"/>
    <w:rsid w:val="00337CBC"/>
    <w:rsid w:val="003414D1"/>
    <w:rsid w:val="00342817"/>
    <w:rsid w:val="003428FC"/>
    <w:rsid w:val="00346622"/>
    <w:rsid w:val="003507DB"/>
    <w:rsid w:val="00351B07"/>
    <w:rsid w:val="003572EE"/>
    <w:rsid w:val="003648E6"/>
    <w:rsid w:val="0036533D"/>
    <w:rsid w:val="00367469"/>
    <w:rsid w:val="00371B29"/>
    <w:rsid w:val="00375F1A"/>
    <w:rsid w:val="003766F8"/>
    <w:rsid w:val="00380106"/>
    <w:rsid w:val="0038130A"/>
    <w:rsid w:val="00381474"/>
    <w:rsid w:val="003814F0"/>
    <w:rsid w:val="00381E07"/>
    <w:rsid w:val="00385464"/>
    <w:rsid w:val="00385788"/>
    <w:rsid w:val="00391769"/>
    <w:rsid w:val="003937BC"/>
    <w:rsid w:val="003953BF"/>
    <w:rsid w:val="003953E1"/>
    <w:rsid w:val="003956B3"/>
    <w:rsid w:val="003A0A4D"/>
    <w:rsid w:val="003A3D30"/>
    <w:rsid w:val="003A5712"/>
    <w:rsid w:val="003A68BE"/>
    <w:rsid w:val="003A7B84"/>
    <w:rsid w:val="003B1739"/>
    <w:rsid w:val="003B1D09"/>
    <w:rsid w:val="003B326D"/>
    <w:rsid w:val="003B4567"/>
    <w:rsid w:val="003C000F"/>
    <w:rsid w:val="003C4969"/>
    <w:rsid w:val="003C619E"/>
    <w:rsid w:val="003C6F22"/>
    <w:rsid w:val="003D1A20"/>
    <w:rsid w:val="003D2CDC"/>
    <w:rsid w:val="003D401B"/>
    <w:rsid w:val="003E1F36"/>
    <w:rsid w:val="003E3335"/>
    <w:rsid w:val="003E41D5"/>
    <w:rsid w:val="003E46BA"/>
    <w:rsid w:val="003F237D"/>
    <w:rsid w:val="003F4E4A"/>
    <w:rsid w:val="003F74C1"/>
    <w:rsid w:val="004012CE"/>
    <w:rsid w:val="00401ADE"/>
    <w:rsid w:val="00405B1A"/>
    <w:rsid w:val="004066FF"/>
    <w:rsid w:val="0040743D"/>
    <w:rsid w:val="004109EF"/>
    <w:rsid w:val="00410C76"/>
    <w:rsid w:val="00411020"/>
    <w:rsid w:val="00411095"/>
    <w:rsid w:val="00411907"/>
    <w:rsid w:val="00413792"/>
    <w:rsid w:val="00417EE3"/>
    <w:rsid w:val="004207EB"/>
    <w:rsid w:val="00421730"/>
    <w:rsid w:val="00422EC9"/>
    <w:rsid w:val="004239DD"/>
    <w:rsid w:val="00423AC7"/>
    <w:rsid w:val="00424DB6"/>
    <w:rsid w:val="00424EB4"/>
    <w:rsid w:val="00427AF5"/>
    <w:rsid w:val="00432A42"/>
    <w:rsid w:val="00435406"/>
    <w:rsid w:val="00436FB0"/>
    <w:rsid w:val="00437276"/>
    <w:rsid w:val="00444F25"/>
    <w:rsid w:val="00451702"/>
    <w:rsid w:val="00452291"/>
    <w:rsid w:val="00453646"/>
    <w:rsid w:val="004568D6"/>
    <w:rsid w:val="00456B54"/>
    <w:rsid w:val="00456BD5"/>
    <w:rsid w:val="0046150A"/>
    <w:rsid w:val="004626A7"/>
    <w:rsid w:val="004633BA"/>
    <w:rsid w:val="00464643"/>
    <w:rsid w:val="00471CED"/>
    <w:rsid w:val="00480FD0"/>
    <w:rsid w:val="004811BA"/>
    <w:rsid w:val="004815D0"/>
    <w:rsid w:val="00481C67"/>
    <w:rsid w:val="00486793"/>
    <w:rsid w:val="00486B23"/>
    <w:rsid w:val="00486C66"/>
    <w:rsid w:val="0049480F"/>
    <w:rsid w:val="00494A3F"/>
    <w:rsid w:val="00494B6B"/>
    <w:rsid w:val="00495529"/>
    <w:rsid w:val="004A0E63"/>
    <w:rsid w:val="004A2037"/>
    <w:rsid w:val="004A52CD"/>
    <w:rsid w:val="004A54BE"/>
    <w:rsid w:val="004A6D95"/>
    <w:rsid w:val="004A793C"/>
    <w:rsid w:val="004A7DFD"/>
    <w:rsid w:val="004B047B"/>
    <w:rsid w:val="004B2174"/>
    <w:rsid w:val="004B4CDC"/>
    <w:rsid w:val="004C09FD"/>
    <w:rsid w:val="004D0B4D"/>
    <w:rsid w:val="004D121E"/>
    <w:rsid w:val="004D1B1C"/>
    <w:rsid w:val="004D4F59"/>
    <w:rsid w:val="004D7F05"/>
    <w:rsid w:val="004E18C4"/>
    <w:rsid w:val="004E1CD5"/>
    <w:rsid w:val="004F06B3"/>
    <w:rsid w:val="004F4F98"/>
    <w:rsid w:val="004F51B2"/>
    <w:rsid w:val="004F69F6"/>
    <w:rsid w:val="004F79AC"/>
    <w:rsid w:val="004F7C8E"/>
    <w:rsid w:val="00506E9B"/>
    <w:rsid w:val="00512B29"/>
    <w:rsid w:val="0051363F"/>
    <w:rsid w:val="005207D8"/>
    <w:rsid w:val="00523930"/>
    <w:rsid w:val="005244F1"/>
    <w:rsid w:val="005261C4"/>
    <w:rsid w:val="0052738C"/>
    <w:rsid w:val="005319A7"/>
    <w:rsid w:val="005359F5"/>
    <w:rsid w:val="00537CDC"/>
    <w:rsid w:val="00552010"/>
    <w:rsid w:val="00553386"/>
    <w:rsid w:val="00553D3E"/>
    <w:rsid w:val="005571C8"/>
    <w:rsid w:val="005575C7"/>
    <w:rsid w:val="00557AB5"/>
    <w:rsid w:val="00560185"/>
    <w:rsid w:val="00562917"/>
    <w:rsid w:val="00562BE4"/>
    <w:rsid w:val="00567770"/>
    <w:rsid w:val="00570C8B"/>
    <w:rsid w:val="005716FD"/>
    <w:rsid w:val="00571B8C"/>
    <w:rsid w:val="005726F8"/>
    <w:rsid w:val="00572AEC"/>
    <w:rsid w:val="00575567"/>
    <w:rsid w:val="00580DDF"/>
    <w:rsid w:val="005811B7"/>
    <w:rsid w:val="00583302"/>
    <w:rsid w:val="00583D9E"/>
    <w:rsid w:val="00583F26"/>
    <w:rsid w:val="00585899"/>
    <w:rsid w:val="00586228"/>
    <w:rsid w:val="00590060"/>
    <w:rsid w:val="00591B87"/>
    <w:rsid w:val="00591C11"/>
    <w:rsid w:val="005946D3"/>
    <w:rsid w:val="005963FE"/>
    <w:rsid w:val="00597631"/>
    <w:rsid w:val="005A4DBE"/>
    <w:rsid w:val="005A55D2"/>
    <w:rsid w:val="005A572E"/>
    <w:rsid w:val="005A5762"/>
    <w:rsid w:val="005B084E"/>
    <w:rsid w:val="005B389B"/>
    <w:rsid w:val="005B4700"/>
    <w:rsid w:val="005B56A8"/>
    <w:rsid w:val="005B6665"/>
    <w:rsid w:val="005B6AF4"/>
    <w:rsid w:val="005C04CB"/>
    <w:rsid w:val="005C0A71"/>
    <w:rsid w:val="005C0EAB"/>
    <w:rsid w:val="005C2075"/>
    <w:rsid w:val="005C4989"/>
    <w:rsid w:val="005C7051"/>
    <w:rsid w:val="005C7B26"/>
    <w:rsid w:val="005D052F"/>
    <w:rsid w:val="005D0F1B"/>
    <w:rsid w:val="005D16AD"/>
    <w:rsid w:val="005D2016"/>
    <w:rsid w:val="005D72E1"/>
    <w:rsid w:val="005E06C0"/>
    <w:rsid w:val="005E3F4F"/>
    <w:rsid w:val="005E4F7C"/>
    <w:rsid w:val="005E58D3"/>
    <w:rsid w:val="005E5B9A"/>
    <w:rsid w:val="005E6B21"/>
    <w:rsid w:val="005E6E16"/>
    <w:rsid w:val="005F0017"/>
    <w:rsid w:val="005F26EE"/>
    <w:rsid w:val="005F2D67"/>
    <w:rsid w:val="005F400E"/>
    <w:rsid w:val="005F7342"/>
    <w:rsid w:val="0060140D"/>
    <w:rsid w:val="00606A9E"/>
    <w:rsid w:val="00610A3C"/>
    <w:rsid w:val="00610BFD"/>
    <w:rsid w:val="006138D7"/>
    <w:rsid w:val="00615592"/>
    <w:rsid w:val="00615E83"/>
    <w:rsid w:val="00616017"/>
    <w:rsid w:val="00621AF7"/>
    <w:rsid w:val="006228CB"/>
    <w:rsid w:val="00622D91"/>
    <w:rsid w:val="00627F48"/>
    <w:rsid w:val="00631174"/>
    <w:rsid w:val="0063348A"/>
    <w:rsid w:val="0063455F"/>
    <w:rsid w:val="006351A8"/>
    <w:rsid w:val="00635814"/>
    <w:rsid w:val="00635C1F"/>
    <w:rsid w:val="00645AD0"/>
    <w:rsid w:val="00645CDA"/>
    <w:rsid w:val="00652C8C"/>
    <w:rsid w:val="00653446"/>
    <w:rsid w:val="00654910"/>
    <w:rsid w:val="00656221"/>
    <w:rsid w:val="00657E36"/>
    <w:rsid w:val="00661BC2"/>
    <w:rsid w:val="00663FCF"/>
    <w:rsid w:val="006652A2"/>
    <w:rsid w:val="0066592A"/>
    <w:rsid w:val="00667103"/>
    <w:rsid w:val="00676EFE"/>
    <w:rsid w:val="00683071"/>
    <w:rsid w:val="00684CB4"/>
    <w:rsid w:val="006864DE"/>
    <w:rsid w:val="006869BF"/>
    <w:rsid w:val="006900F4"/>
    <w:rsid w:val="00690A7B"/>
    <w:rsid w:val="00692490"/>
    <w:rsid w:val="006960AF"/>
    <w:rsid w:val="00696604"/>
    <w:rsid w:val="006969CC"/>
    <w:rsid w:val="00696A15"/>
    <w:rsid w:val="006970A5"/>
    <w:rsid w:val="006A09A8"/>
    <w:rsid w:val="006A48A7"/>
    <w:rsid w:val="006A5D40"/>
    <w:rsid w:val="006B092B"/>
    <w:rsid w:val="006B2BAB"/>
    <w:rsid w:val="006B2D5C"/>
    <w:rsid w:val="006B6C82"/>
    <w:rsid w:val="006B6F83"/>
    <w:rsid w:val="006C116D"/>
    <w:rsid w:val="006C20C7"/>
    <w:rsid w:val="006C22A7"/>
    <w:rsid w:val="006C5CF5"/>
    <w:rsid w:val="006D0EA1"/>
    <w:rsid w:val="006D1BFD"/>
    <w:rsid w:val="006D33FF"/>
    <w:rsid w:val="006E10A1"/>
    <w:rsid w:val="006E22F9"/>
    <w:rsid w:val="006E2C9E"/>
    <w:rsid w:val="006E2D18"/>
    <w:rsid w:val="006E48AC"/>
    <w:rsid w:val="006E5287"/>
    <w:rsid w:val="006E61C2"/>
    <w:rsid w:val="006F0D68"/>
    <w:rsid w:val="006F4A82"/>
    <w:rsid w:val="006F5FEA"/>
    <w:rsid w:val="00701872"/>
    <w:rsid w:val="00703CA8"/>
    <w:rsid w:val="00704965"/>
    <w:rsid w:val="00710186"/>
    <w:rsid w:val="00710C37"/>
    <w:rsid w:val="00711A21"/>
    <w:rsid w:val="007139EC"/>
    <w:rsid w:val="00716C11"/>
    <w:rsid w:val="00724B8F"/>
    <w:rsid w:val="00724FA4"/>
    <w:rsid w:val="00730800"/>
    <w:rsid w:val="007313F8"/>
    <w:rsid w:val="00732F91"/>
    <w:rsid w:val="00733D94"/>
    <w:rsid w:val="00743ECB"/>
    <w:rsid w:val="00744808"/>
    <w:rsid w:val="007533CC"/>
    <w:rsid w:val="00755239"/>
    <w:rsid w:val="00755F02"/>
    <w:rsid w:val="007602AA"/>
    <w:rsid w:val="00761E9B"/>
    <w:rsid w:val="0076267B"/>
    <w:rsid w:val="007652EF"/>
    <w:rsid w:val="00765DE1"/>
    <w:rsid w:val="00766EA1"/>
    <w:rsid w:val="00767C15"/>
    <w:rsid w:val="00772BDC"/>
    <w:rsid w:val="00773ABE"/>
    <w:rsid w:val="00777437"/>
    <w:rsid w:val="007776B4"/>
    <w:rsid w:val="00777ABA"/>
    <w:rsid w:val="0078069E"/>
    <w:rsid w:val="00780792"/>
    <w:rsid w:val="0078309E"/>
    <w:rsid w:val="00787E09"/>
    <w:rsid w:val="00795D86"/>
    <w:rsid w:val="00796AF5"/>
    <w:rsid w:val="0079710E"/>
    <w:rsid w:val="007A2401"/>
    <w:rsid w:val="007A3D58"/>
    <w:rsid w:val="007A44B4"/>
    <w:rsid w:val="007A53BF"/>
    <w:rsid w:val="007A7D3D"/>
    <w:rsid w:val="007B1371"/>
    <w:rsid w:val="007B200D"/>
    <w:rsid w:val="007B225D"/>
    <w:rsid w:val="007B37B3"/>
    <w:rsid w:val="007B3951"/>
    <w:rsid w:val="007B46DD"/>
    <w:rsid w:val="007C1C64"/>
    <w:rsid w:val="007C22CB"/>
    <w:rsid w:val="007C75B7"/>
    <w:rsid w:val="007D0189"/>
    <w:rsid w:val="007D143A"/>
    <w:rsid w:val="007D20EC"/>
    <w:rsid w:val="007D3FD5"/>
    <w:rsid w:val="007D5F66"/>
    <w:rsid w:val="007D74EB"/>
    <w:rsid w:val="007E48BC"/>
    <w:rsid w:val="007E79F7"/>
    <w:rsid w:val="007F3148"/>
    <w:rsid w:val="007F3630"/>
    <w:rsid w:val="007F6B98"/>
    <w:rsid w:val="007F7BF7"/>
    <w:rsid w:val="007F7FC2"/>
    <w:rsid w:val="00805366"/>
    <w:rsid w:val="00805FDB"/>
    <w:rsid w:val="00807559"/>
    <w:rsid w:val="00813464"/>
    <w:rsid w:val="0081351D"/>
    <w:rsid w:val="00821F18"/>
    <w:rsid w:val="00824C9E"/>
    <w:rsid w:val="008250E5"/>
    <w:rsid w:val="0082559D"/>
    <w:rsid w:val="00831154"/>
    <w:rsid w:val="008318A8"/>
    <w:rsid w:val="00831912"/>
    <w:rsid w:val="00832356"/>
    <w:rsid w:val="00832F8F"/>
    <w:rsid w:val="008352B7"/>
    <w:rsid w:val="008443BC"/>
    <w:rsid w:val="008450BC"/>
    <w:rsid w:val="00847066"/>
    <w:rsid w:val="00850B09"/>
    <w:rsid w:val="00852BC2"/>
    <w:rsid w:val="0085334B"/>
    <w:rsid w:val="008537BA"/>
    <w:rsid w:val="00855E6F"/>
    <w:rsid w:val="00856232"/>
    <w:rsid w:val="00856712"/>
    <w:rsid w:val="00860808"/>
    <w:rsid w:val="00861C13"/>
    <w:rsid w:val="00862349"/>
    <w:rsid w:val="00862870"/>
    <w:rsid w:val="0086571E"/>
    <w:rsid w:val="00865923"/>
    <w:rsid w:val="008661EA"/>
    <w:rsid w:val="00870214"/>
    <w:rsid w:val="00870A6E"/>
    <w:rsid w:val="00871116"/>
    <w:rsid w:val="00872C48"/>
    <w:rsid w:val="00874A6B"/>
    <w:rsid w:val="00876783"/>
    <w:rsid w:val="00885C51"/>
    <w:rsid w:val="008866FB"/>
    <w:rsid w:val="00895BAC"/>
    <w:rsid w:val="008968CC"/>
    <w:rsid w:val="00896B85"/>
    <w:rsid w:val="008A17DE"/>
    <w:rsid w:val="008A243D"/>
    <w:rsid w:val="008A6F01"/>
    <w:rsid w:val="008A7B56"/>
    <w:rsid w:val="008B031B"/>
    <w:rsid w:val="008B2B45"/>
    <w:rsid w:val="008C05BF"/>
    <w:rsid w:val="008C140F"/>
    <w:rsid w:val="008C28EA"/>
    <w:rsid w:val="008C4E76"/>
    <w:rsid w:val="008D06C6"/>
    <w:rsid w:val="008D3F6A"/>
    <w:rsid w:val="008D5E9D"/>
    <w:rsid w:val="008D6AA6"/>
    <w:rsid w:val="008E0070"/>
    <w:rsid w:val="008E1FB3"/>
    <w:rsid w:val="008E6250"/>
    <w:rsid w:val="008E7911"/>
    <w:rsid w:val="008F1151"/>
    <w:rsid w:val="008F4FF9"/>
    <w:rsid w:val="009015F7"/>
    <w:rsid w:val="00902FA0"/>
    <w:rsid w:val="00903B56"/>
    <w:rsid w:val="00904D35"/>
    <w:rsid w:val="00910431"/>
    <w:rsid w:val="0091229C"/>
    <w:rsid w:val="009147C5"/>
    <w:rsid w:val="00914B04"/>
    <w:rsid w:val="00915A31"/>
    <w:rsid w:val="00917C6F"/>
    <w:rsid w:val="00920249"/>
    <w:rsid w:val="00920BAA"/>
    <w:rsid w:val="009222E6"/>
    <w:rsid w:val="0092242C"/>
    <w:rsid w:val="0092610C"/>
    <w:rsid w:val="00926798"/>
    <w:rsid w:val="00932F14"/>
    <w:rsid w:val="0094247F"/>
    <w:rsid w:val="00942D60"/>
    <w:rsid w:val="0094358A"/>
    <w:rsid w:val="00944980"/>
    <w:rsid w:val="009460FA"/>
    <w:rsid w:val="00947534"/>
    <w:rsid w:val="009478A1"/>
    <w:rsid w:val="0095279B"/>
    <w:rsid w:val="00962768"/>
    <w:rsid w:val="0096523B"/>
    <w:rsid w:val="00970623"/>
    <w:rsid w:val="00971BED"/>
    <w:rsid w:val="00972D06"/>
    <w:rsid w:val="009931A8"/>
    <w:rsid w:val="0099323D"/>
    <w:rsid w:val="00995DCE"/>
    <w:rsid w:val="0099623A"/>
    <w:rsid w:val="009A091F"/>
    <w:rsid w:val="009A2699"/>
    <w:rsid w:val="009A2DC9"/>
    <w:rsid w:val="009A391C"/>
    <w:rsid w:val="009B04DC"/>
    <w:rsid w:val="009B0897"/>
    <w:rsid w:val="009B2AA8"/>
    <w:rsid w:val="009B5464"/>
    <w:rsid w:val="009B668F"/>
    <w:rsid w:val="009C0348"/>
    <w:rsid w:val="009C52BC"/>
    <w:rsid w:val="009C65DB"/>
    <w:rsid w:val="009D0653"/>
    <w:rsid w:val="009D7302"/>
    <w:rsid w:val="009E0A61"/>
    <w:rsid w:val="009E3010"/>
    <w:rsid w:val="009E46F5"/>
    <w:rsid w:val="009E4909"/>
    <w:rsid w:val="009E5CA1"/>
    <w:rsid w:val="009F0066"/>
    <w:rsid w:val="009F7065"/>
    <w:rsid w:val="00A01D4C"/>
    <w:rsid w:val="00A02A13"/>
    <w:rsid w:val="00A04BFD"/>
    <w:rsid w:val="00A13664"/>
    <w:rsid w:val="00A1380C"/>
    <w:rsid w:val="00A15A2A"/>
    <w:rsid w:val="00A16F89"/>
    <w:rsid w:val="00A24192"/>
    <w:rsid w:val="00A2449C"/>
    <w:rsid w:val="00A2678E"/>
    <w:rsid w:val="00A26E67"/>
    <w:rsid w:val="00A318EB"/>
    <w:rsid w:val="00A32AF8"/>
    <w:rsid w:val="00A429AE"/>
    <w:rsid w:val="00A46A78"/>
    <w:rsid w:val="00A47104"/>
    <w:rsid w:val="00A47BE6"/>
    <w:rsid w:val="00A529DC"/>
    <w:rsid w:val="00A551B9"/>
    <w:rsid w:val="00A56DC7"/>
    <w:rsid w:val="00A60DB9"/>
    <w:rsid w:val="00A647C5"/>
    <w:rsid w:val="00A66FDD"/>
    <w:rsid w:val="00A671E6"/>
    <w:rsid w:val="00A709E5"/>
    <w:rsid w:val="00A730F0"/>
    <w:rsid w:val="00A74FD1"/>
    <w:rsid w:val="00A7698B"/>
    <w:rsid w:val="00A82DC7"/>
    <w:rsid w:val="00A84A58"/>
    <w:rsid w:val="00A84AA5"/>
    <w:rsid w:val="00A85C60"/>
    <w:rsid w:val="00A90C26"/>
    <w:rsid w:val="00A9232E"/>
    <w:rsid w:val="00A929A9"/>
    <w:rsid w:val="00A9654D"/>
    <w:rsid w:val="00A96594"/>
    <w:rsid w:val="00AA295E"/>
    <w:rsid w:val="00AA2AB8"/>
    <w:rsid w:val="00AA41BA"/>
    <w:rsid w:val="00AA47E5"/>
    <w:rsid w:val="00AA68E5"/>
    <w:rsid w:val="00AA6D0D"/>
    <w:rsid w:val="00AA6FA3"/>
    <w:rsid w:val="00AC0E36"/>
    <w:rsid w:val="00AC1C17"/>
    <w:rsid w:val="00AC2108"/>
    <w:rsid w:val="00AC3919"/>
    <w:rsid w:val="00AC428E"/>
    <w:rsid w:val="00AC6E26"/>
    <w:rsid w:val="00AD0CD3"/>
    <w:rsid w:val="00AD1FD7"/>
    <w:rsid w:val="00AD344F"/>
    <w:rsid w:val="00AD7376"/>
    <w:rsid w:val="00AE0AD4"/>
    <w:rsid w:val="00AE156C"/>
    <w:rsid w:val="00AE4FFD"/>
    <w:rsid w:val="00AF24FA"/>
    <w:rsid w:val="00AF387F"/>
    <w:rsid w:val="00AF397D"/>
    <w:rsid w:val="00AF4417"/>
    <w:rsid w:val="00AF69AE"/>
    <w:rsid w:val="00B00E7F"/>
    <w:rsid w:val="00B04403"/>
    <w:rsid w:val="00B05C4C"/>
    <w:rsid w:val="00B069D7"/>
    <w:rsid w:val="00B13F05"/>
    <w:rsid w:val="00B1648E"/>
    <w:rsid w:val="00B17112"/>
    <w:rsid w:val="00B20521"/>
    <w:rsid w:val="00B21055"/>
    <w:rsid w:val="00B21DCC"/>
    <w:rsid w:val="00B25F37"/>
    <w:rsid w:val="00B30AD4"/>
    <w:rsid w:val="00B316B9"/>
    <w:rsid w:val="00B342BD"/>
    <w:rsid w:val="00B37158"/>
    <w:rsid w:val="00B425AA"/>
    <w:rsid w:val="00B44422"/>
    <w:rsid w:val="00B46179"/>
    <w:rsid w:val="00B46EA0"/>
    <w:rsid w:val="00B509D7"/>
    <w:rsid w:val="00B52787"/>
    <w:rsid w:val="00B53144"/>
    <w:rsid w:val="00B54C28"/>
    <w:rsid w:val="00B54F8E"/>
    <w:rsid w:val="00B55714"/>
    <w:rsid w:val="00B60F6E"/>
    <w:rsid w:val="00B61D01"/>
    <w:rsid w:val="00B621DF"/>
    <w:rsid w:val="00B63BBA"/>
    <w:rsid w:val="00B731D3"/>
    <w:rsid w:val="00B7437E"/>
    <w:rsid w:val="00B750BB"/>
    <w:rsid w:val="00B75B57"/>
    <w:rsid w:val="00B77C18"/>
    <w:rsid w:val="00B811B3"/>
    <w:rsid w:val="00B81AA1"/>
    <w:rsid w:val="00B831CD"/>
    <w:rsid w:val="00B839A3"/>
    <w:rsid w:val="00B84421"/>
    <w:rsid w:val="00B85D33"/>
    <w:rsid w:val="00B902BD"/>
    <w:rsid w:val="00B92501"/>
    <w:rsid w:val="00B95607"/>
    <w:rsid w:val="00B970BA"/>
    <w:rsid w:val="00BA1009"/>
    <w:rsid w:val="00BA36FA"/>
    <w:rsid w:val="00BA4D3C"/>
    <w:rsid w:val="00BB0EC9"/>
    <w:rsid w:val="00BB76AA"/>
    <w:rsid w:val="00BB76DB"/>
    <w:rsid w:val="00BC4E52"/>
    <w:rsid w:val="00BD2A39"/>
    <w:rsid w:val="00BD2E80"/>
    <w:rsid w:val="00BD49FF"/>
    <w:rsid w:val="00BD4B64"/>
    <w:rsid w:val="00BD60A8"/>
    <w:rsid w:val="00BD6CB1"/>
    <w:rsid w:val="00BD77E1"/>
    <w:rsid w:val="00BD7CA1"/>
    <w:rsid w:val="00BE0A66"/>
    <w:rsid w:val="00BE11B8"/>
    <w:rsid w:val="00BE3666"/>
    <w:rsid w:val="00BF010C"/>
    <w:rsid w:val="00BF45A3"/>
    <w:rsid w:val="00BF7632"/>
    <w:rsid w:val="00BF7FF0"/>
    <w:rsid w:val="00C03A30"/>
    <w:rsid w:val="00C07AC7"/>
    <w:rsid w:val="00C11565"/>
    <w:rsid w:val="00C11AEA"/>
    <w:rsid w:val="00C12502"/>
    <w:rsid w:val="00C17785"/>
    <w:rsid w:val="00C24CF6"/>
    <w:rsid w:val="00C26B3B"/>
    <w:rsid w:val="00C27581"/>
    <w:rsid w:val="00C30C1F"/>
    <w:rsid w:val="00C314EC"/>
    <w:rsid w:val="00C33F5D"/>
    <w:rsid w:val="00C348FB"/>
    <w:rsid w:val="00C40AA5"/>
    <w:rsid w:val="00C4251F"/>
    <w:rsid w:val="00C46F70"/>
    <w:rsid w:val="00C476D0"/>
    <w:rsid w:val="00C62830"/>
    <w:rsid w:val="00C6434A"/>
    <w:rsid w:val="00C64555"/>
    <w:rsid w:val="00C73385"/>
    <w:rsid w:val="00C74398"/>
    <w:rsid w:val="00C830B9"/>
    <w:rsid w:val="00C836E3"/>
    <w:rsid w:val="00C836FF"/>
    <w:rsid w:val="00C854DC"/>
    <w:rsid w:val="00C86577"/>
    <w:rsid w:val="00C91C02"/>
    <w:rsid w:val="00C92E07"/>
    <w:rsid w:val="00C94AAE"/>
    <w:rsid w:val="00C96868"/>
    <w:rsid w:val="00CA0416"/>
    <w:rsid w:val="00CA5734"/>
    <w:rsid w:val="00CB115C"/>
    <w:rsid w:val="00CB4920"/>
    <w:rsid w:val="00CB4F1F"/>
    <w:rsid w:val="00CB6F7F"/>
    <w:rsid w:val="00CC3764"/>
    <w:rsid w:val="00CC3A35"/>
    <w:rsid w:val="00CC5468"/>
    <w:rsid w:val="00CC560B"/>
    <w:rsid w:val="00CC75E2"/>
    <w:rsid w:val="00CD00D7"/>
    <w:rsid w:val="00CD17F2"/>
    <w:rsid w:val="00CD1994"/>
    <w:rsid w:val="00CD437E"/>
    <w:rsid w:val="00CD46EB"/>
    <w:rsid w:val="00CD7EBF"/>
    <w:rsid w:val="00CE561A"/>
    <w:rsid w:val="00CE59AA"/>
    <w:rsid w:val="00CF04DD"/>
    <w:rsid w:val="00CF0E86"/>
    <w:rsid w:val="00D00DBD"/>
    <w:rsid w:val="00D00DFA"/>
    <w:rsid w:val="00D0135D"/>
    <w:rsid w:val="00D05595"/>
    <w:rsid w:val="00D056F1"/>
    <w:rsid w:val="00D06616"/>
    <w:rsid w:val="00D11AC7"/>
    <w:rsid w:val="00D131A1"/>
    <w:rsid w:val="00D144D7"/>
    <w:rsid w:val="00D15A08"/>
    <w:rsid w:val="00D235F8"/>
    <w:rsid w:val="00D23DB6"/>
    <w:rsid w:val="00D27AFF"/>
    <w:rsid w:val="00D27B40"/>
    <w:rsid w:val="00D31616"/>
    <w:rsid w:val="00D40130"/>
    <w:rsid w:val="00D417F9"/>
    <w:rsid w:val="00D42221"/>
    <w:rsid w:val="00D45AFF"/>
    <w:rsid w:val="00D460D9"/>
    <w:rsid w:val="00D5198F"/>
    <w:rsid w:val="00D51A95"/>
    <w:rsid w:val="00D53782"/>
    <w:rsid w:val="00D551F8"/>
    <w:rsid w:val="00D5582A"/>
    <w:rsid w:val="00D60568"/>
    <w:rsid w:val="00D70C7A"/>
    <w:rsid w:val="00D7297A"/>
    <w:rsid w:val="00D72A29"/>
    <w:rsid w:val="00D834E5"/>
    <w:rsid w:val="00D84C3C"/>
    <w:rsid w:val="00D91739"/>
    <w:rsid w:val="00D95BFA"/>
    <w:rsid w:val="00D96C9C"/>
    <w:rsid w:val="00D96DBC"/>
    <w:rsid w:val="00DA10A8"/>
    <w:rsid w:val="00DA1FDD"/>
    <w:rsid w:val="00DA5C57"/>
    <w:rsid w:val="00DB057A"/>
    <w:rsid w:val="00DB123A"/>
    <w:rsid w:val="00DB1E08"/>
    <w:rsid w:val="00DB2973"/>
    <w:rsid w:val="00DB79E6"/>
    <w:rsid w:val="00DC07D7"/>
    <w:rsid w:val="00DC0FBA"/>
    <w:rsid w:val="00DC1B56"/>
    <w:rsid w:val="00DC20CC"/>
    <w:rsid w:val="00DC2129"/>
    <w:rsid w:val="00DC3FCF"/>
    <w:rsid w:val="00DC4AE5"/>
    <w:rsid w:val="00DC6570"/>
    <w:rsid w:val="00DD265C"/>
    <w:rsid w:val="00DD3703"/>
    <w:rsid w:val="00DD7204"/>
    <w:rsid w:val="00DD72D6"/>
    <w:rsid w:val="00DE3944"/>
    <w:rsid w:val="00DE4C75"/>
    <w:rsid w:val="00DE5528"/>
    <w:rsid w:val="00DE7E50"/>
    <w:rsid w:val="00DF25C3"/>
    <w:rsid w:val="00DF3EB7"/>
    <w:rsid w:val="00DF5CFF"/>
    <w:rsid w:val="00DF72BB"/>
    <w:rsid w:val="00DF7F24"/>
    <w:rsid w:val="00E04062"/>
    <w:rsid w:val="00E063C6"/>
    <w:rsid w:val="00E06F22"/>
    <w:rsid w:val="00E2003B"/>
    <w:rsid w:val="00E26887"/>
    <w:rsid w:val="00E26E27"/>
    <w:rsid w:val="00E279D8"/>
    <w:rsid w:val="00E30092"/>
    <w:rsid w:val="00E319B1"/>
    <w:rsid w:val="00E327A6"/>
    <w:rsid w:val="00E347E0"/>
    <w:rsid w:val="00E3684F"/>
    <w:rsid w:val="00E41137"/>
    <w:rsid w:val="00E47D3B"/>
    <w:rsid w:val="00E529B4"/>
    <w:rsid w:val="00E53B54"/>
    <w:rsid w:val="00E5492F"/>
    <w:rsid w:val="00E572B1"/>
    <w:rsid w:val="00E6369A"/>
    <w:rsid w:val="00E70A86"/>
    <w:rsid w:val="00E73E50"/>
    <w:rsid w:val="00E777EC"/>
    <w:rsid w:val="00E80FCD"/>
    <w:rsid w:val="00E8248E"/>
    <w:rsid w:val="00E83310"/>
    <w:rsid w:val="00E84D9F"/>
    <w:rsid w:val="00E921BF"/>
    <w:rsid w:val="00E92E6F"/>
    <w:rsid w:val="00E92EE7"/>
    <w:rsid w:val="00E9305C"/>
    <w:rsid w:val="00EA2226"/>
    <w:rsid w:val="00EA629D"/>
    <w:rsid w:val="00EA7641"/>
    <w:rsid w:val="00EA7DB0"/>
    <w:rsid w:val="00EA7F2F"/>
    <w:rsid w:val="00EB1F85"/>
    <w:rsid w:val="00EB449A"/>
    <w:rsid w:val="00EB576F"/>
    <w:rsid w:val="00EB5B2F"/>
    <w:rsid w:val="00EB6590"/>
    <w:rsid w:val="00EB7EF4"/>
    <w:rsid w:val="00EC00DE"/>
    <w:rsid w:val="00EC21DF"/>
    <w:rsid w:val="00EC30E1"/>
    <w:rsid w:val="00EC3436"/>
    <w:rsid w:val="00EC3B70"/>
    <w:rsid w:val="00EC58DD"/>
    <w:rsid w:val="00EC59A4"/>
    <w:rsid w:val="00EC66BB"/>
    <w:rsid w:val="00ED0F26"/>
    <w:rsid w:val="00ED172A"/>
    <w:rsid w:val="00ED218A"/>
    <w:rsid w:val="00ED21D6"/>
    <w:rsid w:val="00ED3D7D"/>
    <w:rsid w:val="00ED4E5E"/>
    <w:rsid w:val="00EE01DC"/>
    <w:rsid w:val="00EE2C64"/>
    <w:rsid w:val="00EE2F01"/>
    <w:rsid w:val="00EE5B9C"/>
    <w:rsid w:val="00EF3B92"/>
    <w:rsid w:val="00EF7C0E"/>
    <w:rsid w:val="00F14AB3"/>
    <w:rsid w:val="00F14BEC"/>
    <w:rsid w:val="00F215E4"/>
    <w:rsid w:val="00F224B7"/>
    <w:rsid w:val="00F225C5"/>
    <w:rsid w:val="00F2587A"/>
    <w:rsid w:val="00F27C3F"/>
    <w:rsid w:val="00F302A4"/>
    <w:rsid w:val="00F313AC"/>
    <w:rsid w:val="00F31684"/>
    <w:rsid w:val="00F32410"/>
    <w:rsid w:val="00F33470"/>
    <w:rsid w:val="00F34397"/>
    <w:rsid w:val="00F34E02"/>
    <w:rsid w:val="00F3715D"/>
    <w:rsid w:val="00F37A10"/>
    <w:rsid w:val="00F40EB8"/>
    <w:rsid w:val="00F420C8"/>
    <w:rsid w:val="00F42A4C"/>
    <w:rsid w:val="00F43BFC"/>
    <w:rsid w:val="00F44C2F"/>
    <w:rsid w:val="00F46EEC"/>
    <w:rsid w:val="00F526BD"/>
    <w:rsid w:val="00F53307"/>
    <w:rsid w:val="00F576EB"/>
    <w:rsid w:val="00F6040A"/>
    <w:rsid w:val="00F605D1"/>
    <w:rsid w:val="00F615D9"/>
    <w:rsid w:val="00F634A1"/>
    <w:rsid w:val="00F67210"/>
    <w:rsid w:val="00F675A7"/>
    <w:rsid w:val="00F70721"/>
    <w:rsid w:val="00F72E56"/>
    <w:rsid w:val="00F81706"/>
    <w:rsid w:val="00F8222E"/>
    <w:rsid w:val="00F8462D"/>
    <w:rsid w:val="00F85D63"/>
    <w:rsid w:val="00F866DB"/>
    <w:rsid w:val="00F97627"/>
    <w:rsid w:val="00F97FA9"/>
    <w:rsid w:val="00FA10C9"/>
    <w:rsid w:val="00FA1A04"/>
    <w:rsid w:val="00FB1F35"/>
    <w:rsid w:val="00FB7512"/>
    <w:rsid w:val="00FC18AB"/>
    <w:rsid w:val="00FD1C72"/>
    <w:rsid w:val="00FD1E16"/>
    <w:rsid w:val="00FD7547"/>
    <w:rsid w:val="00FE1BD7"/>
    <w:rsid w:val="00FE287B"/>
    <w:rsid w:val="00FE3105"/>
    <w:rsid w:val="00FE3D8C"/>
    <w:rsid w:val="00FE5CEE"/>
    <w:rsid w:val="00FE6B50"/>
    <w:rsid w:val="00FF123D"/>
    <w:rsid w:val="00FF1600"/>
    <w:rsid w:val="00FF1AF3"/>
    <w:rsid w:val="00FF1B03"/>
    <w:rsid w:val="00FF3E26"/>
    <w:rsid w:val="00FF51B5"/>
    <w:rsid w:val="00FF5F5C"/>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8AC7E422-AFE2-4080-AA83-5418001F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326CE0"/>
    <w:pPr>
      <w:ind w:left="720"/>
      <w:contextualSpacing/>
    </w:pPr>
    <w:rPr>
      <w:lang w:val="en-AU"/>
    </w:rPr>
  </w:style>
  <w:style w:type="paragraph" w:styleId="NormalWeb">
    <w:name w:val="Normal (Web)"/>
    <w:basedOn w:val="Normal"/>
    <w:uiPriority w:val="99"/>
    <w:unhideWhenUsed/>
    <w:rsid w:val="00876783"/>
    <w:pPr>
      <w:widowControl/>
      <w:spacing w:after="225" w:line="312" w:lineRule="atLeast"/>
    </w:pPr>
    <w:rPr>
      <w:rFonts w:ascii="Times New Roman" w:hAnsi="Times New Roman"/>
      <w:sz w:val="24"/>
      <w:lang w:val="en-AU" w:eastAsia="en-GB" w:bidi="ar-SA"/>
    </w:rPr>
  </w:style>
  <w:style w:type="character" w:customStyle="1" w:styleId="mixed-citation">
    <w:name w:val="mixed-citation"/>
    <w:basedOn w:val="DefaultParagraphFont"/>
    <w:rsid w:val="00657E36"/>
  </w:style>
  <w:style w:type="character" w:customStyle="1" w:styleId="ref-journal">
    <w:name w:val="ref-journal"/>
    <w:basedOn w:val="DefaultParagraphFont"/>
    <w:rsid w:val="00657E36"/>
  </w:style>
  <w:style w:type="character" w:customStyle="1" w:styleId="groupname">
    <w:name w:val="groupname"/>
    <w:basedOn w:val="DefaultParagraphFont"/>
    <w:rsid w:val="0065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48125737">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98284455">
      <w:bodyDiv w:val="1"/>
      <w:marLeft w:val="0"/>
      <w:marRight w:val="0"/>
      <w:marTop w:val="0"/>
      <w:marBottom w:val="0"/>
      <w:divBdr>
        <w:top w:val="none" w:sz="0" w:space="0" w:color="auto"/>
        <w:left w:val="none" w:sz="0" w:space="0" w:color="auto"/>
        <w:bottom w:val="none" w:sz="0" w:space="0" w:color="auto"/>
        <w:right w:val="none" w:sz="0" w:space="0" w:color="auto"/>
      </w:divBdr>
    </w:div>
    <w:div w:id="1453523425">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foodstandards.gov.au/science/monitoringnutrients/afcd/Pages/default.aspx" TargetMode="External"/><Relationship Id="rId39" Type="http://schemas.openxmlformats.org/officeDocument/2006/relationships/hyperlink" Target="https://pubmed.ncbi.nlm.nih.gov/23319118/" TargetMode="External"/><Relationship Id="rId21" Type="http://schemas.openxmlformats.org/officeDocument/2006/relationships/footer" Target="footer3.xml"/><Relationship Id="rId34" Type="http://schemas.openxmlformats.org/officeDocument/2006/relationships/hyperlink" Target="https://ec.europa.eu/food/sites/food/files/safety/docs/labelling_legislation_guidance_methods_2012_en.pdf" TargetMode="External"/><Relationship Id="rId42"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foodstandards.gov.au/code/applications/Pages/A1123IMOasaNovelFood.aspx" TargetMode="External"/><Relationship Id="rId33" Type="http://schemas.openxmlformats.org/officeDocument/2006/relationships/hyperlink" Target="https://eur-lex.europa.eu/legal-content/EN/ALL/?uri=CELEX:32008L0100" TargetMode="External"/><Relationship Id="rId38" Type="http://schemas.openxmlformats.org/officeDocument/2006/relationships/hyperlink" Target="https://www.canada.ca/en/health-canada/services/publications/food-nutrition/labelling-advertising-dietary-fibre-food-products.html" TargetMode="External"/><Relationship Id="rId2" Type="http://schemas.openxmlformats.org/officeDocument/2006/relationships/customXml" Target="../customXml/item2.xml"/><Relationship Id="rId16" Type="http://schemas.openxmlformats.org/officeDocument/2006/relationships/hyperlink" Target="https://www.foodstandards.gov.au/code/applications/Pages/A1178.aspx" TargetMode="External"/><Relationship Id="rId20" Type="http://schemas.openxmlformats.org/officeDocument/2006/relationships/hyperlink" Target="https://www.foodstandards.gov.au/code/applications/Pages/A1178.aspx" TargetMode="External"/><Relationship Id="rId29" Type="http://schemas.openxmlformats.org/officeDocument/2006/relationships/hyperlink" Target="http://www.fao.org/fao-who-codexalimentarius/sh-proxy/en/?lnk=1&amp;url=https%253A%252F%252Fworkspace.fao.org%252Fsites%252Fcodex%252FMeetings%252FCX-720-41%252FReport%252FAdoption%252FREP20_NFSDUe.pdf" TargetMode="External"/><Relationship Id="rId41" Type="http://schemas.openxmlformats.org/officeDocument/2006/relationships/hyperlink" Target="https://www.govinfo.gov/content/pkg/FR-2016-05-27/pdf/2016-11867.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foodstandards.gov.au/science/monitoringnutrients/afcd/Pages/foods-in-release-1.aspx" TargetMode="External"/><Relationship Id="rId32" Type="http://schemas.openxmlformats.org/officeDocument/2006/relationships/hyperlink" Target="http://www.fao.org/fao-who-codexalimentarius/sh-proxy/en/?lnk=1&amp;url=https%253A%252F%252Fworkspace.fao.org%252Fsites%252Fcodex%252FMeetings%252FCX-715-41%252FCRD%252Fma_CRD03x.pdf" TargetMode="External"/><Relationship Id="rId37" Type="http://schemas.openxmlformats.org/officeDocument/2006/relationships/hyperlink" Target="https://www.regulations.gov/contentStreamer?documentId=FDA-2012-N-1210-0875&amp;contentType=pdf" TargetMode="External"/><Relationship Id="rId40" Type="http://schemas.openxmlformats.org/officeDocument/2006/relationships/hyperlink" Target="https://doi.org/10.1186/1475-2891-13-34"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healthstarrating.gov.au/internet/healthstarrating/publishing.nsf/Content/formal-review-of-the-system-after-five-years" TargetMode="External"/><Relationship Id="rId28" Type="http://schemas.openxmlformats.org/officeDocument/2006/relationships/hyperlink" Target="http://www.fao.org/fao-who-codexalimentarius/meetings/detail/en/?meeting=CCNFSDU&amp;session=41" TargetMode="External"/><Relationship Id="rId36" Type="http://schemas.openxmlformats.org/officeDocument/2006/relationships/hyperlink" Target="https://efsa.onlinelibrary.wiley.com/doi/abs/10.2903/j.efsa.2010.1462"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http://www.fao.org/fao-who-codexalimentarius/codex-texts/list-standards/it/" TargetMode="External"/><Relationship Id="rId44" Type="http://schemas.openxmlformats.org/officeDocument/2006/relationships/theme" Target="theme/theme1.xml"/><Relationship Id="rId43"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yperlink" Target="http://www.fao.org/fao-who-codexalimentarius/sh-proxy/en/?lnk=1&amp;url=https%253A%252F%252Fworkspace.fao.org%252Fsites%252Fcodex%252FMeetings%252FCX-715-41%252FFinal%252520Report%252FREP21_MASe.pdf" TargetMode="External"/><Relationship Id="rId30" Type="http://schemas.openxmlformats.org/officeDocument/2006/relationships/hyperlink" Target="http://www.fao.org/fao-who-codexalimentarius/codex-texts/guidelines/en/" TargetMode="External"/><Relationship Id="rId35" Type="http://schemas.openxmlformats.org/officeDocument/2006/relationships/hyperlink" Target="https://ec.europa.eu/jrc/en/health-knowledge-gateway/promotion-prevention/nutrition/fib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da.gov/food/food-labeling-nutrition/questions-and-answers-dietary-fiber" TargetMode="External"/><Relationship Id="rId2" Type="http://schemas.openxmlformats.org/officeDocument/2006/relationships/hyperlink" Target="https://www.aoac.org/about-aoac-international/" TargetMode="External"/><Relationship Id="rId1" Type="http://schemas.openxmlformats.org/officeDocument/2006/relationships/hyperlink" Target="http://www.fao.org/fao-who-codexalimentarius/sh-proxy/en/?lnk=1&amp;url=https%253A%252F%252Fworkspace.fao.org%252Fsites%252Fcodex%252FMeetings%252FCX-715-41%252FFinal%252520Report%252FREP21_MASe.pdf" TargetMode="External"/><Relationship Id="rId4" Type="http://schemas.openxmlformats.org/officeDocument/2006/relationships/hyperlink" Target="https://www.foodstandards.gov.au/code/applications/Pages/A1123IMOasaNovelFoo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A4F8A-FAFD-4A91-9FD9-363EE904573C}"/>
</file>

<file path=customXml/itemProps2.xml><?xml version="1.0" encoding="utf-8"?>
<ds:datastoreItem xmlns:ds="http://schemas.openxmlformats.org/officeDocument/2006/customXml" ds:itemID="{6550D075-8943-483D-8833-A4DF3E959F39}"/>
</file>

<file path=customXml/itemProps3.xml><?xml version="1.0" encoding="utf-8"?>
<ds:datastoreItem xmlns:ds="http://schemas.openxmlformats.org/officeDocument/2006/customXml" ds:itemID="{646FD817-ABD2-4032-8FD0-7B9875E916D9}">
  <ds:schemaRefs>
    <ds:schemaRef ds:uri="Microsoft.SharePoint.Taxonomy.ContentTypeSync"/>
  </ds:schemaRefs>
</ds:datastoreItem>
</file>

<file path=customXml/itemProps4.xml><?xml version="1.0" encoding="utf-8"?>
<ds:datastoreItem xmlns:ds="http://schemas.openxmlformats.org/officeDocument/2006/customXml" ds:itemID="{BF5E98A2-8886-46B7-B5E3-238E4554EBC8}">
  <ds:schemaRefs>
    <ds:schemaRef ds:uri="http://schemas.microsoft.com/office/2006/metadata/customXsn"/>
  </ds:schemaRefs>
</ds:datastoreItem>
</file>

<file path=customXml/itemProps5.xml><?xml version="1.0" encoding="utf-8"?>
<ds:datastoreItem xmlns:ds="http://schemas.openxmlformats.org/officeDocument/2006/customXml" ds:itemID="{AA383B67-7A22-4A5B-A9E6-8C870F92B7DA}"/>
</file>

<file path=customXml/itemProps6.xml><?xml version="1.0" encoding="utf-8"?>
<ds:datastoreItem xmlns:ds="http://schemas.openxmlformats.org/officeDocument/2006/customXml" ds:itemID="{F78E750E-D0D7-42AF-83FD-A2778CB335BF}"/>
</file>

<file path=customXml/itemProps7.xml><?xml version="1.0" encoding="utf-8"?>
<ds:datastoreItem xmlns:ds="http://schemas.openxmlformats.org/officeDocument/2006/customXml" ds:itemID="{0AD32984-89CC-4C91-A486-C0C01D3D9124}"/>
</file>

<file path=customXml/itemProps8.xml><?xml version="1.0" encoding="utf-8"?>
<ds:datastoreItem xmlns:ds="http://schemas.openxmlformats.org/officeDocument/2006/customXml" ds:itemID="{F78E750E-D0D7-42AF-83FD-A2778CB3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7466</TotalTime>
  <Pages>1</Pages>
  <Words>13149</Words>
  <Characters>74951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87925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Cathie</dc:creator>
  <cp:keywords/>
  <dc:description/>
  <cp:lastModifiedBy>Tailee Vecchi</cp:lastModifiedBy>
  <cp:revision>36</cp:revision>
  <cp:lastPrinted>2021-11-05T00:32:00Z</cp:lastPrinted>
  <dcterms:created xsi:type="dcterms:W3CDTF">2021-05-31T23:59:00Z</dcterms:created>
  <dcterms:modified xsi:type="dcterms:W3CDTF">2021-11-05T00:34:00Z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_dlc_DocIdItemGuid">
    <vt:lpwstr>bc564b8f-38fb-45eb-8b32-51002a97c783</vt:lpwstr>
  </property>
  <property fmtid="{D5CDD505-2E9C-101B-9397-08002B2CF9AE}" pid="9" name="RecordPoint_WorkflowType">
    <vt:lpwstr>ActiveSubmitStub</vt:lpwstr>
  </property>
  <property fmtid="{D5CDD505-2E9C-101B-9397-08002B2CF9AE}" pid="10" name="RecordPoint_ActiveItemUniqueId">
    <vt:lpwstr>{bc564b8f-38fb-45eb-8b32-51002a97c783}</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R0000190198</vt:lpwstr>
  </property>
  <property fmtid="{D5CDD505-2E9C-101B-9397-08002B2CF9AE}" pid="15" name="RecordPoint_SubmissionCompleted">
    <vt:lpwstr>2021-10-11T08:55:12.0394574+11:00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